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42" w:right="140"/>
        <w:jc w:val="center"/>
        <w:spacing w:after="0" w:line="240" w:lineRule="auto"/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ru-RU"/>
        </w:rPr>
        <w:pBdr>
          <w:bottom w:val="single" w:color="000000" w:sz="12" w:space="1"/>
        </w:pBdr>
      </w:pPr>
      <w:r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ФЕДЕРАЛЬНОЕ КАЗНАЧЕЙСТВО (КАЗНАЧЕЙСТВО РОССИИ)</w:t>
      </w:r>
      <w:r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  <w:t xml:space="preserve">УТВЕРЖДАЮ</w:t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Заместитель руководителя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br/>
              <w:t xml:space="preserve">Федерального казначейства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Х.Х. Хххххххххх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</w:tbl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after="0" w:line="240" w:lineRule="auto"/>
        <w:rPr>
          <w:rFonts w:ascii="Arial" w:hAnsi="Arial" w:eastAsia="Times New Roman" w:cs="Times New Roman"/>
          <w:b/>
          <w:color w:val="000000" w:themeColor="text1"/>
          <w:sz w:val="36"/>
          <w:szCs w:val="20"/>
          <w:lang w:eastAsia="ru-RU"/>
        </w:rPr>
      </w:pPr>
      <w:r>
        <w:rPr>
          <w:rFonts w:ascii="Arial" w:hAnsi="Arial" w:eastAsia="Times New Roman" w:cs="Times New Roman"/>
          <w:b/>
          <w:color w:val="000000" w:themeColor="text1"/>
          <w:sz w:val="36"/>
          <w:szCs w:val="20"/>
          <w:lang w:eastAsia="ru-RU"/>
        </w:rPr>
        <w:t xml:space="preserve">Наименование информационной системы</w:t>
      </w:r>
      <w:r>
        <w:rPr>
          <w:rFonts w:ascii="Arial" w:hAnsi="Arial" w:eastAsia="Times New Roman" w:cs="Times New Roman"/>
          <w:b/>
          <w:color w:val="000000" w:themeColor="text1"/>
          <w:sz w:val="36"/>
          <w:szCs w:val="20"/>
          <w:lang w:eastAsia="ru-RU"/>
        </w:rPr>
      </w:r>
      <w:r>
        <w:rPr>
          <w:rFonts w:ascii="Arial" w:hAnsi="Arial" w:eastAsia="Times New Roman" w:cs="Times New Roman"/>
          <w:b/>
          <w:color w:val="000000" w:themeColor="text1"/>
          <w:sz w:val="36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after="0" w:line="240" w:lineRule="auto"/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pP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  <w:t xml:space="preserve">Системная архитектура</w:t>
      </w: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after="0" w:line="240" w:lineRule="auto"/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pP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  <w:t xml:space="preserve">Лист утверждения</w:t>
      </w: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Код документа: </w:t>
      </w:r>
      <w:bookmarkStart w:id="0" w:name="kod_doc"/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XXXXXXXX.AA.BB,BB.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0"/>
          <w:lang w:eastAsia="ru-RU"/>
        </w:rPr>
        <w:t xml:space="preserve">СА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.DDD-E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E F</w:t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-ЛУ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Государственный контракт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от ДД.ММ.ГГГГ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№ ХХ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br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  <w:t xml:space="preserve">СОГЛАСОВАНО</w:t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  <w:t xml:space="preserve">СОГЛАСОВАНО</w:t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От Федерального казначейства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От Организации-исполнителя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Х.Х. Хххххххххх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Х.Х. Хххххххххх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     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u w:val="single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</w:tbl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  <w:sectPr>
          <w:headerReference w:type="default" r:id="rId9"/>
          <w:footerReference w:type="first" r:id="rId11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</w:p>
    <w:p>
      <w:pPr>
        <w:ind w:left="142" w:right="140"/>
        <w:jc w:val="center"/>
        <w:spacing w:after="0" w:line="240" w:lineRule="auto"/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ru-RU"/>
        </w:rPr>
        <w:pBdr>
          <w:bottom w:val="single" w:color="000000" w:sz="12" w:space="1"/>
        </w:pBdr>
      </w:pPr>
      <w:r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ru-RU"/>
        </w:rPr>
        <w:t xml:space="preserve">ФЕДЕРАЛЬНОЕ КАЗНАЧЕЙСТВО (КАЗНАЧЕЙСТВО РОССИИ)</w:t>
      </w:r>
      <w:r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</w:p>
    <w:p>
      <w:pPr>
        <w:spacing w:after="0" w:line="240" w:lineRule="auto"/>
        <w:rPr>
          <w:rFonts w:ascii="Arial" w:hAnsi="Arial" w:eastAsia="Times New Roman" w:cs="Arial"/>
          <w:b/>
          <w:color w:val="000000" w:themeColor="text1"/>
          <w:sz w:val="28"/>
          <w:szCs w:val="20"/>
          <w:lang w:eastAsia="ru-RU"/>
        </w:rPr>
      </w:pPr>
      <w:r>
        <w:rPr>
          <w:rFonts w:ascii="Arial" w:hAnsi="Arial" w:eastAsia="Times New Roman" w:cs="Arial"/>
          <w:b/>
          <w:color w:val="000000" w:themeColor="text1"/>
          <w:sz w:val="28"/>
          <w:szCs w:val="20"/>
          <w:lang w:eastAsia="ru-RU"/>
        </w:rPr>
        <w:t xml:space="preserve">УТВЕРЖДЕН</w:t>
      </w:r>
      <w:r>
        <w:rPr>
          <w:rFonts w:ascii="Arial" w:hAnsi="Arial" w:eastAsia="Times New Roman" w:cs="Arial"/>
          <w:b/>
          <w:color w:val="000000" w:themeColor="text1"/>
          <w:sz w:val="28"/>
          <w:szCs w:val="20"/>
          <w:lang w:eastAsia="ru-RU"/>
        </w:rPr>
      </w:r>
      <w:r>
        <w:rPr>
          <w:rFonts w:ascii="Arial" w:hAnsi="Arial" w:eastAsia="Times New Roman" w:cs="Arial"/>
          <w:b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XXXXXXXX.AA.BB,BB.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0"/>
          <w:lang w:eastAsia="ru-RU"/>
        </w:rPr>
        <w:t xml:space="preserve">СА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.DDD-E.E F-ЛУ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after="0" w:line="240" w:lineRule="auto"/>
        <w:rPr>
          <w:rFonts w:ascii="Arial" w:hAnsi="Arial" w:eastAsia="Times New Roman" w:cs="Times New Roman"/>
          <w:b/>
          <w:color w:val="000000" w:themeColor="text1"/>
          <w:sz w:val="36"/>
          <w:szCs w:val="20"/>
          <w:lang w:eastAsia="ru-RU"/>
        </w:rPr>
      </w:pPr>
      <w:r>
        <w:rPr>
          <w:rFonts w:ascii="Arial" w:hAnsi="Arial" w:eastAsia="Times New Roman" w:cs="Times New Roman"/>
          <w:b/>
          <w:color w:val="000000" w:themeColor="text1"/>
          <w:sz w:val="36"/>
          <w:szCs w:val="20"/>
          <w:lang w:eastAsia="ru-RU"/>
        </w:rPr>
        <w:t xml:space="preserve">Наименование информационной системы</w:t>
      </w:r>
      <w:r>
        <w:rPr>
          <w:rFonts w:ascii="Arial" w:hAnsi="Arial" w:eastAsia="Times New Roman" w:cs="Times New Roman"/>
          <w:b/>
          <w:color w:val="000000" w:themeColor="text1"/>
          <w:sz w:val="36"/>
          <w:szCs w:val="20"/>
          <w:lang w:eastAsia="ru-RU"/>
        </w:rPr>
      </w:r>
      <w:r>
        <w:rPr>
          <w:rFonts w:ascii="Arial" w:hAnsi="Arial" w:eastAsia="Times New Roman" w:cs="Times New Roman"/>
          <w:b/>
          <w:color w:val="000000" w:themeColor="text1"/>
          <w:sz w:val="36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after="0" w:line="240" w:lineRule="auto"/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pP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  <w:t xml:space="preserve">Системная архитектура</w:t>
      </w: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r>
      <w:r>
        <w:rPr>
          <w:rFonts w:ascii="Arial" w:hAnsi="Arial" w:eastAsia="Times New Roman" w:cs="Times New Roman"/>
          <w:color w:val="000000" w:themeColor="text1"/>
          <w:sz w:val="36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Код документа: XXXXXXXX.AA.BB,BB.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0"/>
          <w:lang w:eastAsia="ru-RU"/>
        </w:rPr>
        <w:t xml:space="preserve">СА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.DDD-E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E F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Листов: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b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0"/>
                <w:lang w:eastAsia="ru-RU"/>
              </w:rPr>
            </w:r>
          </w:p>
        </w:tc>
      </w:tr>
    </w:tbl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jc w:val="center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ind w:firstLine="709"/>
        <w:keepNext/>
        <w:spacing w:before="360" w:after="120" w:line="36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Arial" w:hAnsi="Arial" w:eastAsia="Times New Roman" w:cs="Times New Roman"/>
          <w:b/>
          <w:bCs/>
          <w:color w:val="000000" w:themeColor="text1"/>
          <w:sz w:val="36"/>
          <w:szCs w:val="20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Аннотация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</w:rPr>
      </w:r>
    </w:p>
    <w:p>
      <w:pPr>
        <w:ind w:left="426"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В настоящем документе приводятся требования к разработке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системной архитектуры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информационной системы (далее – ИС).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</w:p>
    <w:p>
      <w:pPr>
        <w:ind w:left="426"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Системная архитектура отражает фундаментальную организацию системы, реализованную в ее компонентах, связях этих компонентов друг с другом и внешней средой и принципах, определяющих структуру и развитие системы.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</w:p>
    <w:p>
      <w:pPr>
        <w:ind w:left="426"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Системную архитектуру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ИС разрабатывают на систему в целом, предназначенную для работы самостоятельно или в составе другой системы.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</w:p>
    <w:p>
      <w:pPr>
        <w:ind w:left="426"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системную архитектуру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ИС могут включаться приложения. В зависимости от вида, назначения, специфических особенностей объекта автоматизации и условий функционирования системы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допускается оформлять разделы системной архитектуры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ИС в виде приложений, вводить дополнительные, исключать или объединять подразделы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системной архитектуры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ИС.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</w:p>
    <w:p>
      <w:pPr>
        <w:ind w:left="426"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При оформлении системной архитектуры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должны использоваться стили, предусмотренные в настоящем шаблоне.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</w:p>
    <w:p>
      <w:pPr>
        <w:ind w:left="426"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Все пункты системной архитектуры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должны иметь последовательную нумерацию и быть выполнены с использованием предусмотренных для её организации стилей ("Пункт 2 уровня", "Пункт 3 уровня" и т.д.).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</w:p>
    <w:p>
      <w:pPr>
        <w:ind w:left="426"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В составе системной архитектуры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ИС 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олжны присутствовать все разделы, определённые в настоящем шаблоне.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</w:p>
    <w:p>
      <w:pPr>
        <w:pStyle w:val="1207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1207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1207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1207"/>
        <w:ind w:firstLine="709"/>
      </w:pPr>
      <w:r>
        <w:t xml:space="preserve">Перечень области применения документа:</w:t>
      </w:r>
      <w:r/>
    </w:p>
    <w:p>
      <w:pPr>
        <w:pStyle w:val="1207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</w:t>
      </w:r>
      <w:r/>
    </w:p>
    <w:p>
      <w:pPr>
        <w:pStyle w:val="1207"/>
        <w:ind w:firstLine="709"/>
        <w:rPr>
          <w:color w:val="ff0000"/>
          <w:szCs w:val="28"/>
        </w:rPr>
      </w:pPr>
      <w:r>
        <w:rPr>
          <w:color w:val="ff0000"/>
          <w:szCs w:val="28"/>
        </w:rPr>
      </w:r>
      <w:r>
        <w:rPr>
          <w:color w:val="ff0000"/>
          <w:szCs w:val="28"/>
        </w:rPr>
      </w:r>
      <w:r>
        <w:rPr>
          <w:color w:val="ff0000"/>
          <w:szCs w:val="28"/>
        </w:rPr>
      </w:r>
    </w:p>
    <w:p>
      <w:pPr>
        <w:jc w:val="both"/>
        <w:pageBreakBefore/>
        <w:spacing w:before="120" w:after="120" w:line="240" w:lineRule="auto"/>
        <w:rPr>
          <w:rFonts w:ascii="Times New Roman" w:hAnsi="Times New Roman" w:eastAsia="Times New Roman" w:cs="Times New Roman"/>
          <w:b/>
          <w:color w:val="000000" w:themeColor="text1"/>
          <w:sz w:val="32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2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32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32"/>
          <w:szCs w:val="20"/>
          <w:lang w:eastAsia="ru-RU"/>
        </w:rPr>
      </w:r>
    </w:p>
    <w:sdt>
      <w:sdtPr>
        <w15:appearance w15:val="boundingBox"/>
        <w:id w:val="1196431054"/>
        <w:docPartObj>
          <w:docPartGallery w:val="Table of Contents"/>
          <w:docPartUnique w:val="true"/>
        </w:docPartObj>
        <w:rPr>
          <w:rFonts w:asciiTheme="minorHAnsi" w:hAnsiTheme="minorHAnsi" w:eastAsiaTheme="minorHAnsi" w:cstheme="minorBidi"/>
          <w:color w:val="auto"/>
          <w:sz w:val="22"/>
          <w:szCs w:val="22"/>
          <w:lang w:eastAsia="en-US"/>
        </w:rPr>
      </w:sdtPr>
      <w:sdtContent>
        <w:p>
          <w:pPr>
            <w:pStyle w:val="1253"/>
            <w:rPr>
              <w:rFonts w:ascii="Times New Roman" w:hAnsi="Times New Roman" w:cs="Times New Roman"/>
              <w:b/>
              <w:color w:val="000000" w:themeColor="text1"/>
              <w:sz w:val="36"/>
            </w:rPr>
          </w:pPr>
          <w:r>
            <w:rPr>
              <w:rFonts w:ascii="Times New Roman" w:hAnsi="Times New Roman" w:cs="Times New Roman"/>
              <w:b/>
              <w:color w:val="000000" w:themeColor="text1"/>
              <w:sz w:val="36"/>
            </w:rPr>
            <w:t xml:space="preserve">Оглавление</w:t>
          </w:r>
          <w:r>
            <w:rPr>
              <w:rFonts w:ascii="Times New Roman" w:hAnsi="Times New Roman" w:cs="Times New Roman"/>
              <w:b/>
              <w:color w:val="000000" w:themeColor="text1"/>
              <w:sz w:val="36"/>
            </w:rPr>
          </w:r>
          <w:r>
            <w:rPr>
              <w:rFonts w:ascii="Times New Roman" w:hAnsi="Times New Roman" w:cs="Times New Roman"/>
              <w:b/>
              <w:color w:val="000000" w:themeColor="text1"/>
              <w:sz w:val="36"/>
            </w:rPr>
          </w:r>
        </w:p>
        <w:p>
          <w:pPr>
            <w:pStyle w:val="1180"/>
            <w:tabs>
              <w:tab w:val="right" w:pos="9923" w:leader="dot"/>
            </w:tabs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TOC \o "1-3" \h \z \u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</w:r>
          <w:hyperlink w:tooltip="#_Toc1" w:anchor="_Toc1" w:history="1"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Перечень таблиц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 \h</w:instrText>
              <w:fldChar w:fldCharType="separate"/>
              <w:t xml:space="preserve">5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" w:anchor="_Toc2" w:history="1"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Перечень рисунков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 \h</w:instrText>
              <w:fldChar w:fldCharType="separate"/>
              <w:t xml:space="preserve">5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" w:anchor="_Toc3" w:history="1"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Перечень сокращений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 \h</w:instrText>
              <w:fldChar w:fldCharType="separate"/>
              <w:t xml:space="preserve">6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4" w:anchor="_Toc4" w:history="1"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Перечень терминов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_Toc4 \h</w:instrText>
              <w:fldChar w:fldCharType="separate"/>
              <w:t xml:space="preserve">6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5" w:anchor="_Toc5" w:history="1"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Перечень ссылочных документов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_Toc5 \h</w:instrText>
              <w:fldChar w:fldCharType="separate"/>
              <w:t xml:space="preserve">7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left" w:pos="658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6" w:anchor="_Toc6" w:history="1">
            <w:r>
              <w:rPr>
                <w:rFonts w:ascii="Times New Roman" w:hAnsi="Times New Roman" w:eastAsia="Times New Roman" w:cs="Times New Roman"/>
              </w:rPr>
              <w:t xml:space="preserve">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О</w:t>
            </w:r>
            <w:r>
              <w:rPr>
                <w:rStyle w:val="1172"/>
                <w:rFonts w:ascii="Times New Roman" w:hAnsi="Times New Roman" w:cs="Times New Roman"/>
              </w:rPr>
              <w:t xml:space="preserve">БЩИЕ ПОЛОЖЕНИЯ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_Toc6 \h</w:instrText>
              <w:fldChar w:fldCharType="separate"/>
              <w:t xml:space="preserve">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left" w:pos="658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7" w:anchor="_Toc7" w:history="1">
            <w:r>
              <w:rPr>
                <w:rFonts w:ascii="Times New Roman" w:hAnsi="Times New Roman" w:eastAsia="Times New Roman" w:cs="Times New Roman"/>
              </w:rPr>
              <w:t xml:space="preserve">2.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НАЗНАЧЕНИЕ АРХИТЕКТУРЫ СИСТЕМЫ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_Toc7 \h</w:instrText>
              <w:fldChar w:fldCharType="separate"/>
              <w:t xml:space="preserve">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8" w:anchor="_Toc8" w:history="1">
            <w:r>
              <w:rPr>
                <w:rFonts w:ascii="Times New Roman" w:hAnsi="Times New Roman" w:eastAsia="Times New Roman" w:cs="Times New Roman"/>
              </w:rPr>
              <w:t xml:space="preserve">2.1.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ТРЕБОВАНИЯ К АРХИТЕКТУРЕ СИСТЕМЫ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_Toc8 \h</w:instrText>
              <w:fldChar w:fldCharType="separate"/>
              <w:t xml:space="preserve">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9" w:anchor="_Toc9" w:history="1">
            <w:r>
              <w:rPr>
                <w:rFonts w:ascii="Times New Roman" w:hAnsi="Times New Roman" w:eastAsia="Times New Roman" w:cs="Times New Roman"/>
              </w:rPr>
              <w:t xml:space="preserve">2.2.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ПОДХОДЫ И ПРИНЦИПЫ ПОСТРОЕНИЯ СИСТЕМНОЙ АРХИТЕКТУРЫ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_Toc9 \h</w:instrText>
              <w:fldChar w:fldCharType="separate"/>
              <w:t xml:space="preserve">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0" w:anchor="_Toc10" w:history="1">
            <w:r>
              <w:rPr>
                <w:rFonts w:ascii="Times New Roman" w:hAnsi="Times New Roman" w:eastAsia="Times New Roman" w:cs="Times New Roman"/>
              </w:rPr>
              <w:t xml:space="preserve">2.3.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ФУНКЦИОНАЛЬНАЯ АРХИТЕКТУРА СИСТЕМЫ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_Toc10 \h</w:instrText>
              <w:fldChar w:fldCharType="separate"/>
              <w:t xml:space="preserve">11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1" w:anchor="_Toc11" w:history="1">
            <w:r>
              <w:rPr>
                <w:rFonts w:ascii="Times New Roman" w:hAnsi="Times New Roman" w:eastAsia="Times New Roman" w:cs="Times New Roman"/>
              </w:rPr>
              <w:t xml:space="preserve">2.4.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СОСТАВ ПОКАЗАТЕЛЕЙ НАЗНАЧЕНИЯ</w:t>
            </w:r>
            <w:r>
              <w:rPr>
                <w:rStyle w:val="1172"/>
                <w:rFonts w:ascii="Times New Roman" w:hAnsi="Times New Roman" w:cs="Times New Roman"/>
              </w:rPr>
              <w:t xml:space="preserve"> СИСТЕМЫ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_Toc11 \h</w:instrText>
              <w:fldChar w:fldCharType="separate"/>
              <w:t xml:space="preserve">11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2" w:anchor="_Toc12" w:history="1">
            <w:r>
              <w:rPr>
                <w:rFonts w:ascii="Times New Roman" w:hAnsi="Times New Roman" w:eastAsia="Times New Roman" w:cs="Times New Roman"/>
              </w:rPr>
              <w:t xml:space="preserve">2.5.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ТРЕБОВАНИЯ К БЕЗОПАСНОСТИ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_Toc12 \h</w:instrText>
              <w:fldChar w:fldCharType="separate"/>
              <w:t xml:space="preserve">11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left" w:pos="658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3" w:anchor="_Toc13" w:history="1">
            <w:r>
              <w:rPr>
                <w:rFonts w:ascii="Times New Roman" w:hAnsi="Times New Roman" w:eastAsia="Times New Roman" w:cs="Times New Roman"/>
              </w:rPr>
              <w:t xml:space="preserve">3.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ПРОГРАММНАЯ АРХИТЕКТУРА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_Toc13 \h</w:instrText>
              <w:fldChar w:fldCharType="separate"/>
              <w:t xml:space="preserve">11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4" w:anchor="_Toc14" w:history="1">
            <w:r>
              <w:rPr>
                <w:rFonts w:ascii="Times New Roman" w:hAnsi="Times New Roman" w:eastAsia="Times New Roman" w:cs="Times New Roman"/>
              </w:rPr>
              <w:t xml:space="preserve">3.1.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ОБЩИЕ ПОЛОЖЕНИЯ ПРОГРАММНОЙ АРХИТЕКТУРЫ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_Toc14 \h</w:instrText>
              <w:fldChar w:fldCharType="separate"/>
              <w:t xml:space="preserve">11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5" w:anchor="_Toc15" w:history="1">
            <w:r>
              <w:rPr>
                <w:rFonts w:ascii="Times New Roman" w:hAnsi="Times New Roman" w:eastAsia="Times New Roman" w:cs="Times New Roman"/>
              </w:rPr>
              <w:t xml:space="preserve">3.2.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РЕШЕНИЯ ПРОГРАММНОЙ АРХИТЕКТУРЫ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_Toc15 \h</w:instrText>
              <w:fldChar w:fldCharType="separate"/>
              <w:t xml:space="preserve">13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6" w:anchor="_Toc16" w:history="1">
            <w:r>
              <w:rPr>
                <w:rFonts w:ascii="Times New Roman" w:hAnsi="Times New Roman" w:eastAsia="Times New Roman" w:cs="Times New Roman"/>
              </w:rPr>
              <w:t xml:space="preserve">3.3.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СХЕМА ПРОГРАММНОЙ АРХИТЕКТУРЫ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_Toc16 \h</w:instrText>
              <w:fldChar w:fldCharType="separate"/>
              <w:t xml:space="preserve">14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7" w:anchor="_Toc17" w:history="1">
            <w:r>
              <w:rPr>
                <w:rFonts w:ascii="Times New Roman" w:hAnsi="Times New Roman" w:eastAsia="Times New Roman" w:cs="Times New Roman"/>
              </w:rPr>
              <w:t xml:space="preserve">3.4.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ПРОГРАММНОЕ ВЗАИМОДЕЙСТВИЕ </w:t>
            </w:r>
            <w:r>
              <w:rPr>
                <w:rStyle w:val="1172"/>
                <w:rFonts w:ascii="Times New Roman" w:hAnsi="Times New Roman" w:cs="Times New Roman"/>
              </w:rPr>
              <w:t xml:space="preserve">ИС</w:t>
            </w:r>
            <w:r>
              <w:rPr>
                <w:rStyle w:val="1172"/>
                <w:rFonts w:ascii="Times New Roman" w:hAnsi="Times New Roman" w:cs="Times New Roman"/>
              </w:rPr>
              <w:t xml:space="preserve"> </w:t>
            </w:r>
            <w:r>
              <w:rPr>
                <w:rStyle w:val="1172"/>
                <w:rFonts w:ascii="Times New Roman" w:hAnsi="Times New Roman" w:cs="Times New Roman"/>
              </w:rPr>
              <w:t xml:space="preserve">И КОМПОНЕНТОВ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_Toc17 \h</w:instrText>
              <w:fldChar w:fldCharType="separate"/>
              <w:t xml:space="preserve">14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left" w:pos="658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8" w:anchor="_Toc18" w:history="1">
            <w:r>
              <w:rPr>
                <w:rFonts w:ascii="Times New Roman" w:hAnsi="Times New Roman" w:eastAsia="Times New Roman" w:cs="Times New Roman"/>
              </w:rPr>
              <w:t xml:space="preserve">4.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АРХИТЕКТУРА ДАННЫХ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_Toc18 \h</w:instrText>
              <w:fldChar w:fldCharType="separate"/>
              <w:t xml:space="preserve">14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19" w:anchor="_Toc19" w:history="1">
            <w:r>
              <w:rPr>
                <w:rFonts w:ascii="Times New Roman" w:hAnsi="Times New Roman" w:eastAsia="Times New Roman" w:cs="Times New Roman"/>
              </w:rPr>
              <w:t xml:space="preserve">4.1.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ПРИНЦИПЫ РАБОТЫ С ДАННЫМИ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_Toc19 \h</w:instrText>
              <w:fldChar w:fldCharType="separate"/>
              <w:t xml:space="preserve">14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0" w:anchor="_Toc20" w:history="1">
            <w:r>
              <w:rPr>
                <w:rFonts w:ascii="Times New Roman" w:hAnsi="Times New Roman" w:eastAsia="Times New Roman" w:cs="Times New Roman"/>
              </w:rPr>
              <w:t xml:space="preserve">4.2.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КАТЕГОРИИ ДАННЫХ В СИСТЕМЕ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_Toc20 \h</w:instrText>
              <w:fldChar w:fldCharType="separate"/>
              <w:t xml:space="preserve">14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1" w:anchor="_Toc21" w:history="1">
            <w:r>
              <w:rPr>
                <w:rFonts w:ascii="Times New Roman" w:hAnsi="Times New Roman" w:eastAsia="Times New Roman" w:cs="Times New Roman"/>
              </w:rPr>
              <w:t xml:space="preserve">4.3.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СТРУКТУРА ДАННЫХ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_Toc21 \h</w:instrText>
              <w:fldChar w:fldCharType="separate"/>
              <w:t xml:space="preserve">15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2" w:anchor="_Toc22" w:history="1">
            <w:r>
              <w:rPr>
                <w:rFonts w:ascii="Times New Roman" w:hAnsi="Times New Roman" w:eastAsia="Times New Roman" w:cs="Times New Roman"/>
              </w:rPr>
              <w:t xml:space="preserve">4.3.1.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УРОВНИ ЛОГИЧЕСКОЙ МОДЕЛИ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_Toc22 \h</w:instrText>
              <w:fldChar w:fldCharType="separate"/>
              <w:t xml:space="preserve">16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3" w:anchor="_Toc23" w:history="1">
            <w:r>
              <w:rPr>
                <w:rFonts w:ascii="Times New Roman" w:hAnsi="Times New Roman" w:eastAsia="Times New Roman" w:cs="Times New Roman"/>
              </w:rPr>
              <w:t xml:space="preserve">4.4.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СХЕМЫ ПОТОКОВ ДАННЫХ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_Toc23 \h</w:instrText>
              <w:fldChar w:fldCharType="separate"/>
              <w:t xml:space="preserve">18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  <w:iCs/>
              <w14:ligatures w14:val="none"/>
            </w:rPr>
          </w:pPr>
          <w:r/>
          <w:hyperlink w:tooltip="#_Toc24" w:anchor="_Toc24" w:history="1">
            <w:r>
              <w:rPr>
                <w:rFonts w:ascii="Times New Roman" w:hAnsi="Times New Roman" w:eastAsia="Times New Roman" w:cs="Times New Roman"/>
              </w:rPr>
              <w:t xml:space="preserve">4.5.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СХЕМЫ ИНФОРМАЦИОННЫХ ПОТОКОВ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_Toc24 \h</w:instrText>
              <w:fldChar w:fldCharType="separate"/>
              <w:t xml:space="preserve">18</w:t>
              <w:fldChar w:fldCharType="end"/>
            </w:r>
          </w:hyperlink>
          <w:r>
            <w:rPr>
              <w:rFonts w:ascii="Times New Roman" w:hAnsi="Times New Roman" w:cs="Times New Roman"/>
              <w:iCs/>
              <w14:ligatures w14:val="none"/>
            </w:rPr>
          </w:r>
          <w:r>
            <w:rPr>
              <w:rFonts w:ascii="Times New Roman" w:hAnsi="Times New Roman" w:cs="Times New Roman"/>
              <w:iCs/>
              <w14:ligatures w14:val="none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5" w:anchor="_Toc25" w:history="1">
            <w:r>
              <w:rPr>
                <w:rFonts w:ascii="Times New Roman" w:hAnsi="Times New Roman" w:eastAsia="Times New Roman" w:cs="Times New Roman"/>
              </w:rPr>
              <w:t xml:space="preserve">4.6.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ОЦЕНКА ОБЪЕМОВ ХРАНИМЫХ ДАННЫХ И ИНФОРМАЦИОННОГО ОБМЕНА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_Toc25 \h</w:instrText>
              <w:fldChar w:fldCharType="separate"/>
              <w:t xml:space="preserve">19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6" w:anchor="_Toc26" w:history="1">
            <w:r>
              <w:rPr>
                <w:rFonts w:ascii="Times New Roman" w:hAnsi="Times New Roman" w:eastAsia="Times New Roman" w:cs="Times New Roman"/>
              </w:rPr>
              <w:t xml:space="preserve">4.7.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БАЗЫ И ХРАНИЛИЩА ДАННЫХ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_Toc26 \h</w:instrText>
              <w:fldChar w:fldCharType="separate"/>
              <w:t xml:space="preserve">19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left" w:pos="658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7" w:anchor="_Toc27" w:history="1">
            <w:r>
              <w:rPr>
                <w:rFonts w:ascii="Times New Roman" w:hAnsi="Times New Roman" w:eastAsia="Times New Roman" w:cs="Times New Roman"/>
              </w:rPr>
              <w:t xml:space="preserve">5.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ТЕХНИЧЕСКАЯ АРХИТЕКТУРА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_Toc27 \h</w:instrText>
              <w:fldChar w:fldCharType="separate"/>
              <w:t xml:space="preserve">19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8" w:anchor="_Toc28" w:history="1">
            <w:r>
              <w:rPr>
                <w:rFonts w:ascii="Times New Roman" w:hAnsi="Times New Roman" w:eastAsia="Times New Roman" w:cs="Times New Roman"/>
              </w:rPr>
              <w:t xml:space="preserve">5.1.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ТРЕБОВАНИЯ К ТЕХНИЧЕСКОМУ ОБЕСПЕЧЕНИЮ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_Toc28 \h</w:instrText>
              <w:fldChar w:fldCharType="separate"/>
              <w:t xml:space="preserve">19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29" w:anchor="_Toc29" w:history="1">
            <w:r>
              <w:rPr>
                <w:rFonts w:ascii="Times New Roman" w:hAnsi="Times New Roman" w:eastAsia="Times New Roman" w:cs="Times New Roman"/>
              </w:rPr>
              <w:t xml:space="preserve">5.2.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ОПИСАНИЕ ТЕХНИЧЕСКОГО ОБЕСПЕЧЕНИЯ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_Toc29 \h</w:instrText>
              <w:fldChar w:fldCharType="separate"/>
              <w:t xml:space="preserve">19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0" w:anchor="_Toc30" w:history="1">
            <w:r>
              <w:rPr>
                <w:rFonts w:ascii="Times New Roman" w:hAnsi="Times New Roman" w:eastAsia="Times New Roman" w:cs="Times New Roman"/>
              </w:rPr>
              <w:t xml:space="preserve">5.3.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ТРЕБОВАНИЯ К ПРОГРАММНОМУ ОБЕСП</w:t>
            </w:r>
            <w:r>
              <w:rPr>
                <w:rStyle w:val="1172"/>
                <w:rFonts w:ascii="Times New Roman" w:hAnsi="Times New Roman" w:cs="Times New Roman"/>
              </w:rPr>
              <w:t xml:space="preserve">Е</w:t>
            </w:r>
            <w:r>
              <w:rPr>
                <w:rStyle w:val="1172"/>
                <w:rFonts w:ascii="Times New Roman" w:hAnsi="Times New Roman" w:cs="Times New Roman"/>
              </w:rPr>
              <w:t xml:space="preserve">ЧЕНИЮ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_Toc30 \h</w:instrText>
              <w:fldChar w:fldCharType="separate"/>
              <w:t xml:space="preserve">20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1" w:anchor="_Toc31" w:history="1">
            <w:r>
              <w:rPr>
                <w:rFonts w:ascii="Times New Roman" w:hAnsi="Times New Roman" w:eastAsia="Times New Roman" w:cs="Times New Roman"/>
              </w:rPr>
              <w:t xml:space="preserve">5.4.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ОПИСАНИЕ ПРОГРАММНОГО ОБЕСПЕЧЕНИЯ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_Toc31 \h</w:instrText>
              <w:fldChar w:fldCharType="separate"/>
              <w:t xml:space="preserve">20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2" w:anchor="_Toc32" w:history="1">
            <w:r>
              <w:rPr>
                <w:rFonts w:ascii="Times New Roman" w:hAnsi="Times New Roman" w:eastAsia="Times New Roman" w:cs="Times New Roman"/>
              </w:rPr>
              <w:t xml:space="preserve">5.5.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ОБЕСПЕЧЕНИЕ КАТАСТРОФОУСТОЙЧИВОСТИ 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_Toc32 \h</w:instrText>
              <w:fldChar w:fldCharType="separate"/>
              <w:t xml:space="preserve">21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3" w:anchor="_Toc33" w:history="1">
            <w:r>
              <w:rPr>
                <w:rFonts w:ascii="Times New Roman" w:hAnsi="Times New Roman" w:eastAsia="Times New Roman" w:cs="Times New Roman"/>
              </w:rPr>
              <w:t xml:space="preserve">5.5.1.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ТРЕБОВАНИЯ К </w:t>
            </w:r>
            <w:r>
              <w:rPr>
                <w:rStyle w:val="1172"/>
                <w:rFonts w:ascii="Times New Roman" w:hAnsi="Times New Roman" w:cs="Times New Roman"/>
              </w:rPr>
              <w:t xml:space="preserve">ОБЕСПЕЧЕНИЮ К</w:t>
            </w:r>
            <w:r>
              <w:rPr>
                <w:rStyle w:val="1172"/>
                <w:rFonts w:ascii="Times New Roman" w:hAnsi="Times New Roman" w:cs="Times New Roman"/>
              </w:rPr>
              <w:t xml:space="preserve">АТАСТРОФОУСТОЙЧИВОСТИ</w:t>
            </w:r>
            <w:r>
              <w:rPr>
                <w:rStyle w:val="1172"/>
                <w:rFonts w:ascii="Times New Roman" w:hAnsi="Times New Roman" w:cs="Times New Roman"/>
              </w:rPr>
              <w:t xml:space="preserve"> 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     </w:t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_Toc33 \h</w:instrText>
              <w:fldChar w:fldCharType="separate"/>
              <w:t xml:space="preserve">21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4" w:anchor="_Toc34" w:history="1">
            <w:r>
              <w:rPr>
                <w:rFonts w:ascii="Times New Roman" w:hAnsi="Times New Roman" w:eastAsia="Times New Roman" w:cs="Times New Roman"/>
              </w:rPr>
              <w:t xml:space="preserve">5.5.2.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РЕШЕНИЕ ПО ОБЕСПЕЧЕНИЮ КАТАСТРОФОУСТОЙЧИВОСТИ 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     </w:t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_Toc34 \h</w:instrText>
              <w:fldChar w:fldCharType="separate"/>
              <w:t xml:space="preserve">21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  <w:b/>
              <w:bCs/>
              <w:iCs/>
            </w:rPr>
          </w:pPr>
          <w:r/>
          <w:hyperlink w:tooltip="#_Toc35" w:anchor="_Toc35" w:history="1">
            <w:r>
              <w:rPr>
                <w:rFonts w:ascii="Times New Roman" w:hAnsi="Times New Roman" w:cs="Times New Roman" w:eastAsiaTheme="minorHAnsi"/>
              </w:rPr>
              <w:t xml:space="preserve">5.6.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  <w:iCs/>
              </w:rPr>
              <w:t xml:space="preserve">ОБЕСПЕЧЕНИЕ ОТКАЗОУСТОЙЧИВОСТИ 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_Toc35 \h</w:instrText>
              <w:fldChar w:fldCharType="separate"/>
              <w:t xml:space="preserve">22</w:t>
              <w:fldChar w:fldCharType="end"/>
            </w:r>
          </w:hyperlink>
          <w:r>
            <w:rPr>
              <w:rFonts w:ascii="Times New Roman" w:hAnsi="Times New Roman" w:cs="Times New Roman"/>
              <w:b/>
              <w:bCs/>
              <w:iCs/>
            </w:rPr>
          </w:r>
          <w:r>
            <w:rPr>
              <w:rFonts w:ascii="Times New Roman" w:hAnsi="Times New Roman" w:cs="Times New Roman"/>
              <w:b/>
              <w:bCs/>
              <w:iCs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6" w:anchor="_Toc36" w:history="1">
            <w:r>
              <w:rPr>
                <w:rFonts w:ascii="Times New Roman" w:hAnsi="Times New Roman" w:cs="Times New Roman" w:eastAsiaTheme="minorHAnsi"/>
              </w:rPr>
              <w:t xml:space="preserve">5.6.1.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ТРЕБОВАНИЯ К ОБЕСПЕЧЕНИЮ ОТКАЗОУСТОЙЧИВОСТИ 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    </w:t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_Toc36 \h</w:instrText>
              <w:fldChar w:fldCharType="separate"/>
              <w:t xml:space="preserve">22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7" w:anchor="_Toc37" w:history="1">
            <w:r>
              <w:rPr>
                <w:rFonts w:ascii="Times New Roman" w:hAnsi="Times New Roman" w:cs="Times New Roman" w:eastAsiaTheme="minorHAnsi"/>
              </w:rPr>
              <w:t xml:space="preserve">5.6.2.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РЕШЕНИЕ ПО ОБЕСПЕЧЕНИЮ ОТКАЗОУСТОЙЧИВОСТИ     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    </w:t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_Toc37 \h</w:instrText>
              <w:fldChar w:fldCharType="separate"/>
              <w:t xml:space="preserve">22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  <w:b/>
              <w:bCs/>
              <w:iCs/>
            </w:rPr>
          </w:pPr>
          <w:r/>
          <w:hyperlink w:tooltip="#_Toc38" w:anchor="_Toc38" w:history="1">
            <w:r>
              <w:rPr>
                <w:rFonts w:ascii="Times New Roman" w:hAnsi="Times New Roman" w:cs="Times New Roman" w:eastAsiaTheme="minorHAnsi"/>
              </w:rPr>
              <w:t xml:space="preserve">5.7.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  <w:iCs/>
              </w:rPr>
              <w:t xml:space="preserve">МОНИТОРИНГ </w:t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  <w:iCs/>
              </w:rPr>
              <w:t xml:space="preserve">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_Toc38 \h</w:instrText>
              <w:fldChar w:fldCharType="separate"/>
              <w:t xml:space="preserve">24</w:t>
              <w:fldChar w:fldCharType="end"/>
            </w:r>
          </w:hyperlink>
          <w:r>
            <w:rPr>
              <w:rFonts w:ascii="Times New Roman" w:hAnsi="Times New Roman" w:cs="Times New Roman"/>
              <w:b/>
              <w:bCs/>
              <w:iCs/>
            </w:rPr>
          </w:r>
          <w:r>
            <w:rPr>
              <w:rFonts w:ascii="Times New Roman" w:hAnsi="Times New Roman" w:cs="Times New Roman"/>
              <w:b/>
              <w:bCs/>
              <w:iCs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39" w:anchor="_Toc39" w:history="1">
            <w:r>
              <w:rPr>
                <w:rFonts w:ascii="Times New Roman" w:hAnsi="Times New Roman" w:cs="Times New Roman" w:eastAsiaTheme="minorHAnsi"/>
              </w:rPr>
              <w:t xml:space="preserve">5.7.1.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ТРЕБОВАНИЯ К ОБЕСПЕЧЕНИЮ </w:t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МОНИТОРИНГА</w:t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 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_Toc39 \h</w:instrText>
              <w:fldChar w:fldCharType="separate"/>
              <w:t xml:space="preserve">24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1"/>
            <w:tabs>
              <w:tab w:val="left" w:pos="885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40" w:anchor="_Toc40" w:history="1">
            <w:r>
              <w:rPr>
                <w:rFonts w:ascii="Times New Roman" w:hAnsi="Times New Roman" w:cs="Times New Roman" w:eastAsiaTheme="minorHAnsi"/>
              </w:rPr>
              <w:t xml:space="preserve">5.7.2.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РЕШЕНИЕ ПО</w:t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 ОБЕСПЕЧЕНИЮ </w:t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МОНИТОРИНГА</w:t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 </w:t>
            </w:r>
            <w:r>
              <w:rPr>
                <w:rStyle w:val="1172"/>
                <w:rFonts w:ascii="Times New Roman" w:hAnsi="Times New Roman" w:eastAsia="Arial" w:cs="Times New Roman"/>
                <w:b/>
                <w:bCs/>
              </w:rPr>
              <w:t xml:space="preserve">ИС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_Toc40 \h</w:instrText>
              <w:fldChar w:fldCharType="separate"/>
              <w:t xml:space="preserve">24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left" w:pos="658" w:leader="none"/>
              <w:tab w:val="right" w:pos="9923" w:leader="dot"/>
            </w:tabs>
            <w:rPr>
              <w:rFonts w:ascii="Times New Roman" w:hAnsi="Times New Roman" w:cs="Times New Roman"/>
            </w:rPr>
          </w:pPr>
          <w:r/>
          <w:hyperlink w:tooltip="#_Toc41" w:anchor="_Toc41" w:history="1">
            <w:r>
              <w:rPr>
                <w:rFonts w:ascii="Times New Roman" w:hAnsi="Times New Roman" w:eastAsia="Times New Roman" w:cs="Times New Roman"/>
              </w:rPr>
              <w:t xml:space="preserve">6.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cs="Times New Roman"/>
              </w:rPr>
              <w:t xml:space="preserve">Источники разработки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_Toc41 \h</w:instrText>
              <w:fldChar w:fldCharType="separate"/>
              <w:t xml:space="preserve">26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1180"/>
            <w:tabs>
              <w:tab w:val="right" w:pos="9923" w:leader="dot"/>
            </w:tabs>
            <w:rPr>
              <w:rFonts w:ascii="Times New Roman" w:hAnsi="Times New Roman" w:cs="Times New Roman"/>
              <w:b/>
              <w:bCs/>
            </w:rPr>
          </w:pPr>
          <w:r/>
          <w:hyperlink w:tooltip="#_Toc42" w:anchor="_Toc42" w:history="1"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Согласовано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_Toc42 \h</w:instrText>
              <w:fldChar w:fldCharType="separate"/>
              <w:t xml:space="preserve">27</w:t>
              <w:fldChar w:fldCharType="end"/>
            </w:r>
          </w:hyperlink>
          <w:r>
            <w:rPr>
              <w:rFonts w:ascii="Times New Roman" w:hAnsi="Times New Roman" w:cs="Times New Roman"/>
              <w:b/>
              <w:bCs/>
            </w:rPr>
          </w:r>
          <w:r>
            <w:rPr>
              <w:rFonts w:ascii="Times New Roman" w:hAnsi="Times New Roman" w:cs="Times New Roman"/>
              <w:b/>
              <w:bCs/>
            </w:rPr>
          </w:r>
        </w:p>
        <w:p>
          <w:pPr>
            <w:pStyle w:val="1180"/>
            <w:tabs>
              <w:tab w:val="right" w:pos="9923" w:leader="dot"/>
            </w:tabs>
            <w:rPr>
              <w:rFonts w:ascii="Times New Roman" w:hAnsi="Times New Roman" w:cs="Times New Roman"/>
              <w:b/>
              <w:bCs/>
            </w:rPr>
          </w:pPr>
          <w:r/>
          <w:hyperlink w:tooltip="#_Toc43" w:anchor="_Toc43" w:history="1"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Style w:val="1172"/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Лист регистрации изменений</w:t>
            </w:r>
            <w:r>
              <w:rPr>
                <w:rStyle w:val="1172"/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  <w:instrText xml:space="preserve">PAGEREF _Toc43 \h</w:instrText>
              <w:fldChar w:fldCharType="separate"/>
              <w:t xml:space="preserve">28</w:t>
              <w:fldChar w:fldCharType="end"/>
            </w:r>
          </w:hyperlink>
          <w:r>
            <w:rPr>
              <w:rFonts w:ascii="Times New Roman" w:hAnsi="Times New Roman" w:cs="Times New Roman"/>
              <w:b/>
              <w:bCs/>
            </w:rPr>
          </w:r>
          <w:r>
            <w:rPr>
              <w:rFonts w:ascii="Times New Roman" w:hAnsi="Times New Roman" w:cs="Times New Roman"/>
              <w:b/>
              <w:bCs/>
            </w:rPr>
          </w:r>
        </w:p>
        <w:p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  <w:b/>
              <w:bCs/>
            </w:rPr>
            <w:fldChar w:fldCharType="end"/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</w:sdtContent>
    </w:sdt>
    <w:p>
      <w:pPr>
        <w:jc w:val="both"/>
        <w:spacing w:before="120" w:after="12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0"/>
          <w:lang w:eastAsia="ru-RU"/>
        </w:rPr>
      </w:r>
    </w:p>
    <w:p>
      <w:pPr>
        <w:pStyle w:val="1173"/>
        <w:pageBreakBefore/>
        <w:rPr>
          <w:rFonts w:ascii="Times New Roman" w:hAnsi="Times New Roman"/>
        </w:rPr>
      </w:pPr>
      <w:r/>
      <w:bookmarkStart w:id="124" w:name="_Toc1"/>
      <w:r>
        <w:rPr>
          <w:rFonts w:ascii="Times New Roman" w:hAnsi="Times New Roman"/>
        </w:rPr>
        <w:t xml:space="preserve">Перечень таблиц</w:t>
      </w:r>
      <w:bookmarkEnd w:id="12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right" w:pos="9627" w:leader="dot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\c "Табл."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49"/>
      </w:pPr>
      <w:r>
        <w:fldChar w:fldCharType="end"/>
      </w:r>
      <w:r/>
    </w:p>
    <w:p>
      <w:pPr>
        <w:pStyle w:val="1173"/>
        <w:rPr>
          <w:rFonts w:ascii="Times New Roman" w:hAnsi="Times New Roman"/>
        </w:rPr>
      </w:pPr>
      <w:r/>
      <w:bookmarkStart w:id="125" w:name="_Toc2"/>
      <w:r>
        <w:rPr>
          <w:rFonts w:ascii="Times New Roman" w:hAnsi="Times New Roman"/>
        </w:rPr>
        <w:t xml:space="preserve">Перечень рисунков</w:t>
      </w:r>
      <w:bookmarkEnd w:id="12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73"/>
        <w:pageBreakBefore/>
        <w:rPr>
          <w:rFonts w:ascii="Times New Roman" w:hAnsi="Times New Roman"/>
        </w:rPr>
      </w:pPr>
      <w:r/>
      <w:bookmarkStart w:id="126" w:name="_Toc3"/>
      <w:r>
        <w:rPr>
          <w:rFonts w:ascii="Times New Roman" w:hAnsi="Times New Roman"/>
        </w:rPr>
        <w:t xml:space="preserve">Перечень сокращений</w:t>
      </w:r>
      <w:bookmarkEnd w:id="12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27"/>
        <w:gridCol w:w="6200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Сокращение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БД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База данных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БПО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Базисное программное обеспечение.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КТС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Комплекс </w:t>
            </w:r>
            <w:r>
              <w:rPr>
                <w:rFonts w:ascii="Times New Roman" w:hAnsi="Times New Roman" w:cs="Times New Roman"/>
                <w:sz w:val="24"/>
              </w:rPr>
              <w:t xml:space="preserve">технических средств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Информационная система.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Программное обеспечение.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Подсистема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</w:rPr>
              <w:t xml:space="preserve">бъект системы, который можно представить в виде самостоятельной системы, состоящей из элементов и обладающей определенной целостностью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ИС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Программное обеспечение информационной системы, включающее в себя СПО, БПО, ППО, ПО СУБД, сервисное, а также прочее ПО, необходимое и достаточное для функционирования и администрирования ИС.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ППО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Прикладное программное обеспечение.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Системное программное обеспечение.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ТЗ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</w:rPr>
              <w:t xml:space="preserve">ехническое задание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ФАП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Фонд алгоритмов и про</w:t>
            </w:r>
            <w:r>
              <w:rPr>
                <w:rFonts w:ascii="Times New Roman" w:hAnsi="Times New Roman" w:cs="Times New Roman"/>
                <w:sz w:val="24"/>
              </w:rPr>
              <w:t xml:space="preserve">грамм Федерального казначейства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ФС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Файловый сервер.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ЦОД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Центр обработки данных.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ЧТЗ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200" w:type="dxa"/>
            <w:vAlign w:val="center"/>
            <w:textDirection w:val="lrTb"/>
            <w:noWrap w:val="false"/>
          </w:tcPr>
          <w:p>
            <w:pPr>
              <w:ind w:right="130"/>
              <w:jc w:val="both"/>
              <w:spacing w:before="120" w:after="12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Частное техническое задание.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p>
      <w:pPr>
        <w:pStyle w:val="1173"/>
        <w:rPr>
          <w:rFonts w:ascii="Times New Roman" w:hAnsi="Times New Roman"/>
        </w:rPr>
      </w:pPr>
      <w:r/>
      <w:bookmarkStart w:id="127" w:name="_Toc4"/>
      <w:r>
        <w:rPr>
          <w:rFonts w:ascii="Times New Roman" w:hAnsi="Times New Roman"/>
        </w:rPr>
        <w:t xml:space="preserve">Перечень терминов</w:t>
      </w:r>
      <w:bookmarkEnd w:id="12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7"/>
        <w:gridCol w:w="6190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термина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Определение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Базисное программное обеспечение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1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Коммерческое или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переиспользуемый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привязанный к конкретным прикладным задачам функционал.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Прикладное программное обеспечение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1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Программное обеспечение, предназначенное для выполнения определ</w:t>
            </w:r>
            <w:r>
              <w:rPr>
                <w:rFonts w:ascii="Times New Roman" w:hAnsi="Times New Roman" w:cs="Times New Roman"/>
                <w:sz w:val="24"/>
              </w:rPr>
              <w:t xml:space="preserve">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</w:t>
            </w:r>
            <w:r>
              <w:rPr>
                <w:rFonts w:ascii="Times New Roman" w:hAnsi="Times New Roman" w:cs="Times New Roman"/>
                <w:sz w:val="24"/>
              </w:rPr>
              <w:t xml:space="preserve">СПО и БПО</w:t>
            </w:r>
            <w:r>
              <w:rPr>
                <w:rFonts w:ascii="Times New Roman" w:hAnsi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Системное программное обеспечение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1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Комплекс программ, которые обесп</w:t>
            </w:r>
            <w:r>
              <w:rPr>
                <w:rFonts w:ascii="Times New Roman" w:hAnsi="Times New Roman" w:cs="Times New Roman"/>
                <w:sz w:val="24"/>
              </w:rP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rPr>
                <w:rFonts w:ascii="Times New Roman" w:hAnsi="Times New Roman" w:cs="Times New Roman"/>
                <w:sz w:val="24"/>
              </w:rP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Информационная система 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W w:w="61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Совок</w:t>
            </w:r>
            <w:r>
              <w:rPr>
                <w:rFonts w:ascii="Times New Roman" w:hAnsi="Times New Roman" w:cs="Times New Roman"/>
                <w:sz w:val="24"/>
              </w:rPr>
              <w:t xml:space="preserve">упность содержащейся в базах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p>
      <w:pPr>
        <w:pStyle w:val="1143"/>
        <w:numPr>
          <w:ilvl w:val="0"/>
          <w:numId w:val="0"/>
        </w:numPr>
        <w:ind w:left="709"/>
        <w:tabs>
          <w:tab w:val="left" w:pos="708" w:leader="none"/>
        </w:tabs>
      </w:pPr>
      <w:r/>
      <w:bookmarkStart w:id="128" w:name="_Toc5"/>
      <w:r>
        <w:t xml:space="preserve">Перечень ссылочных документов</w:t>
      </w:r>
      <w:bookmarkEnd w:id="128"/>
      <w:r/>
      <w:r/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26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26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26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26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261"/>
              <w:numPr>
                <w:ilvl w:val="0"/>
                <w:numId w:val="2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261"/>
              <w:numPr>
                <w:ilvl w:val="0"/>
                <w:numId w:val="2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261"/>
              <w:numPr>
                <w:ilvl w:val="0"/>
                <w:numId w:val="2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261"/>
              <w:numPr>
                <w:ilvl w:val="0"/>
                <w:numId w:val="2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261"/>
              <w:numPr>
                <w:ilvl w:val="0"/>
                <w:numId w:val="2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261"/>
            </w:pPr>
            <w:r/>
            <w:r/>
          </w:p>
        </w:tc>
      </w:tr>
    </w:tbl>
    <w:p>
      <w:r>
        <w:br w:type="page" w:clear="all"/>
      </w:r>
      <w:r/>
    </w:p>
    <w:p>
      <w:pPr>
        <w:pStyle w:val="1258"/>
        <w:numPr>
          <w:ilvl w:val="0"/>
          <w:numId w:val="11"/>
        </w:numPr>
        <w:ind w:left="0" w:firstLine="0"/>
        <w:keepNext/>
        <w:pageBreakBefore w:val="0"/>
        <w:spacing w:before="360" w:after="120"/>
        <w:rPr>
          <w:rFonts w:ascii="Arial" w:hAnsi="Arial"/>
        </w:rPr>
      </w:pPr>
      <w:r/>
      <w:bookmarkStart w:id="129" w:name="_Toc6"/>
      <w:r>
        <w:rPr>
          <w:rFonts w:ascii="Arial" w:hAnsi="Arial"/>
        </w:rPr>
        <w:t xml:space="preserve">О</w:t>
      </w:r>
      <w:r>
        <w:rPr>
          <w:rFonts w:ascii="Arial" w:hAnsi="Arial"/>
        </w:rPr>
        <w:t xml:space="preserve">БЩИЕ ПОЛОЖЕНИЯ</w:t>
      </w:r>
      <w:bookmarkEnd w:id="129"/>
      <w:r>
        <w:rPr>
          <w:rFonts w:ascii="Arial" w:hAnsi="Arial"/>
        </w:rPr>
      </w:r>
      <w:r>
        <w:rPr>
          <w:rFonts w:ascii="Arial" w:hAnsi="Arial"/>
        </w:rPr>
      </w:r>
    </w:p>
    <w:p>
      <w:pPr>
        <w:pStyle w:val="1164"/>
        <w:ind w:firstLine="709"/>
        <w:spacing w:before="0" w:after="0" w:line="360" w:lineRule="auto"/>
        <w:rPr>
          <w:rStyle w:val="1234"/>
          <w:i w:val="0"/>
        </w:rPr>
        <w:outlineLvl w:val="9"/>
      </w:pPr>
      <w:r>
        <w:rPr>
          <w:rStyle w:val="1234"/>
          <w:i w:val="0"/>
        </w:rPr>
        <w:t xml:space="preserve">В настоящем разделе указывают:</w:t>
      </w:r>
      <w:r>
        <w:rPr>
          <w:rStyle w:val="1234"/>
          <w:i w:val="0"/>
        </w:rPr>
      </w:r>
      <w:r>
        <w:rPr>
          <w:rStyle w:val="1234"/>
          <w:i w:val="0"/>
        </w:rPr>
      </w:r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полное наименование системы и ее условное обозначение;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номер государственного контракта;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назначение и цели создания (развития) системы;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перечень документов, на основании которых происходит разработка архитектуры системы, кем и когда утверждены эти документы;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методология, с помощью которой описывается архитектура системы; 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уровни выделения</w:t>
      </w:r>
      <w:r>
        <w:t xml:space="preserve"> архитектуры согласно выбранной методологии;</w:t>
      </w:r>
      <w:r>
        <w:t xml:space="preserve"> 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краткое описание состава основных разделов документа.</w:t>
      </w:r>
      <w:r/>
    </w:p>
    <w:p>
      <w:pPr>
        <w:pStyle w:val="1258"/>
        <w:numPr>
          <w:ilvl w:val="0"/>
          <w:numId w:val="11"/>
        </w:numPr>
        <w:ind w:left="0" w:firstLine="0"/>
        <w:keepNext/>
        <w:pageBreakBefore w:val="0"/>
        <w:spacing w:before="360" w:after="120"/>
        <w:rPr>
          <w:rFonts w:ascii="Arial" w:hAnsi="Arial"/>
        </w:rPr>
      </w:pPr>
      <w:r/>
      <w:bookmarkStart w:id="130" w:name="_Toc7"/>
      <w:r>
        <w:rPr>
          <w:rFonts w:ascii="Arial" w:hAnsi="Arial"/>
        </w:rPr>
        <w:t xml:space="preserve">НАЗНАЧЕНИЕ АРХИТЕКТУРЫ СИСТЕМЫ</w:t>
      </w:r>
      <w:bookmarkEnd w:id="130"/>
      <w:r>
        <w:rPr>
          <w:rFonts w:ascii="Arial" w:hAnsi="Arial"/>
        </w:rPr>
      </w:r>
      <w:r>
        <w:rPr>
          <w:rFonts w:ascii="Arial" w:hAnsi="Arial"/>
        </w:rPr>
      </w:r>
    </w:p>
    <w:p>
      <w:pPr>
        <w:pStyle w:val="1186"/>
        <w:ind w:firstLine="709"/>
        <w:spacing w:before="0" w:after="0" w:line="360" w:lineRule="auto"/>
        <w:rPr>
          <w:rStyle w:val="1233"/>
          <w:b w:val="0"/>
        </w:rPr>
      </w:pPr>
      <w:r>
        <w:rPr>
          <w:rStyle w:val="1233"/>
          <w:b w:val="0"/>
        </w:rPr>
        <w:t xml:space="preserve">В настоящем разделе указывают назначение системной архитектуры, основой для чего она является. </w:t>
      </w:r>
      <w:r>
        <w:rPr>
          <w:rStyle w:val="1233"/>
          <w:b w:val="0"/>
        </w:rPr>
      </w:r>
      <w:r>
        <w:rPr>
          <w:rStyle w:val="1233"/>
          <w:b w:val="0"/>
        </w:rPr>
      </w:r>
    </w:p>
    <w:p>
      <w:pPr>
        <w:pStyle w:val="1255"/>
        <w:numPr>
          <w:ilvl w:val="1"/>
          <w:numId w:val="11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31" w:name="_Toc8"/>
      <w:r>
        <w:rPr>
          <w:rFonts w:ascii="Arial" w:hAnsi="Arial"/>
          <w:sz w:val="28"/>
        </w:rPr>
        <w:t xml:space="preserve">ТРЕБОВАНИЯ К АРХИТЕКТУРЕ СИСТЕМЫ</w:t>
      </w:r>
      <w:bookmarkEnd w:id="131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86"/>
        <w:ind w:firstLine="709"/>
        <w:spacing w:before="0" w:after="0" w:line="360" w:lineRule="auto"/>
        <w:rPr>
          <w:rStyle w:val="1233"/>
          <w:b w:val="0"/>
        </w:rPr>
      </w:pPr>
      <w:r>
        <w:rPr>
          <w:rStyle w:val="1233"/>
          <w:b w:val="0"/>
        </w:rPr>
        <w:t xml:space="preserve">В данном разделе перечисляются все требования к архитектуре системы, </w:t>
      </w:r>
      <w:r>
        <w:rPr>
          <w:rStyle w:val="1233"/>
          <w:b w:val="0"/>
        </w:rPr>
        <w:t xml:space="preserve">а также требования, </w:t>
      </w:r>
      <w:r>
        <w:rPr>
          <w:rStyle w:val="1233"/>
          <w:b w:val="0"/>
        </w:rPr>
        <w:t xml:space="preserve">определенные в Концепции ИС</w:t>
      </w:r>
      <w:r>
        <w:rPr>
          <w:rStyle w:val="1233"/>
          <w:b w:val="0"/>
        </w:rPr>
        <w:t xml:space="preserve"> (при наличии)</w:t>
      </w:r>
      <w:r>
        <w:rPr>
          <w:rStyle w:val="1233"/>
          <w:b w:val="0"/>
        </w:rPr>
        <w:t xml:space="preserve">.</w:t>
      </w:r>
      <w:r>
        <w:rPr>
          <w:rStyle w:val="1233"/>
          <w:b w:val="0"/>
        </w:rPr>
      </w:r>
      <w:r>
        <w:rPr>
          <w:rStyle w:val="1233"/>
          <w:b w:val="0"/>
        </w:rPr>
      </w:r>
    </w:p>
    <w:p>
      <w:pPr>
        <w:pStyle w:val="1255"/>
        <w:numPr>
          <w:ilvl w:val="1"/>
          <w:numId w:val="11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32" w:name="_Toc9"/>
      <w:r>
        <w:rPr>
          <w:rFonts w:ascii="Arial" w:hAnsi="Arial"/>
          <w:sz w:val="28"/>
        </w:rPr>
        <w:t xml:space="preserve">ПОДХОДЫ И ПРИНЦИПЫ ПОСТРОЕНИЯ СИСТЕМНОЙ АРХИТЕКТУРЫ</w:t>
      </w:r>
      <w:bookmarkEnd w:id="132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86"/>
        <w:ind w:firstLine="709"/>
        <w:spacing w:before="0" w:after="0" w:line="360" w:lineRule="auto"/>
        <w:rPr>
          <w:rStyle w:val="1233"/>
          <w:b w:val="0"/>
        </w:rPr>
      </w:pPr>
      <w:r>
        <w:rPr>
          <w:rStyle w:val="1233"/>
          <w:b w:val="0"/>
        </w:rPr>
        <w:t xml:space="preserve">В настоящем разделе указывают подходы и принципы построения архитектуры системы.</w:t>
      </w:r>
      <w:r>
        <w:rPr>
          <w:rStyle w:val="1233"/>
          <w:b w:val="0"/>
        </w:rPr>
      </w:r>
      <w:r>
        <w:rPr>
          <w:rStyle w:val="1233"/>
          <w:b w:val="0"/>
        </w:rPr>
      </w:r>
    </w:p>
    <w:p>
      <w:pPr>
        <w:pStyle w:val="1186"/>
        <w:ind w:firstLine="709"/>
        <w:spacing w:before="0" w:after="0" w:line="360" w:lineRule="auto"/>
        <w:rPr>
          <w:rStyle w:val="1233"/>
          <w:b w:val="0"/>
        </w:rPr>
      </w:pPr>
      <w:r>
        <w:rPr>
          <w:rStyle w:val="1233"/>
          <w:b w:val="0"/>
        </w:rPr>
        <w:t xml:space="preserve">Решения, отраженные в архитектуре системы, должны обеспечивать построение Системы, соответствующей следующим принципам:</w:t>
      </w:r>
      <w:r>
        <w:rPr>
          <w:rStyle w:val="1233"/>
          <w:b w:val="0"/>
        </w:rPr>
      </w:r>
      <w:r>
        <w:rPr>
          <w:rStyle w:val="1233"/>
          <w:b w:val="0"/>
        </w:rPr>
      </w:r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открытость – возможность системы допускать замену любого элемента системы без пересмотра системной архитектуры;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модифицируемость – возможность изменения алгоритмов работы системы путем изменения конфигурационных данных;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масштабируемость – возможность</w:t>
      </w:r>
      <w:r>
        <w:t xml:space="preserve"> горизонтально и вертикально</w:t>
      </w:r>
      <w:r>
        <w:t xml:space="preserve"> наращивать ресурсы системы с пропорциональным повышением производительности, таким образом, что при этом не возникает необходимости модернизации программного обеспечения системы или проведения структурных изменений системы;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надежность – возможность системы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тестируемость – возможность установления факта правильного функционирования системы;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диагностируемость – возможность нахождения неисправной части системы;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простота обслуживания и эксплуатации – минимальные требования к квалификации и дополнительному обучению эксплуатационного персонала;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ремонтопригодность – возможность восстановления работоспособности за минимальное время при экономически оправданной стоимости ремонта;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безопасность – соответствие требованиям промышленной безопасности и технике безопасности;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защищенность компонентов системы от злоумышленников и неквалифицированных пользователей;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экономичность – экономическая эффективность в процессе функционирования;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долговечность – максимальная длительность жизненного цикла системы без существенного морального старения, за счет выбора перспективных промышленных стандартов</w:t>
      </w:r>
      <w:r>
        <w:t xml:space="preserve">;</w:t>
      </w:r>
      <w:r/>
    </w:p>
    <w:p>
      <w:pPr>
        <w:pStyle w:val="1165"/>
        <w:numPr>
          <w:ilvl w:val="0"/>
          <w:numId w:val="12"/>
        </w:numPr>
        <w:ind w:left="1094" w:hanging="357"/>
        <w:spacing w:before="0" w:after="0" w:line="360" w:lineRule="auto"/>
        <w:outlineLvl w:val="9"/>
      </w:pPr>
      <w:r>
        <w:t xml:space="preserve">унифицируемость – в состав компонент каждого модуля входят одинаковые элементы программного обеспечения</w:t>
      </w:r>
      <w:r>
        <w:rPr>
          <w:rStyle w:val="1193"/>
        </w:rPr>
        <w:footnoteReference w:id="2"/>
      </w:r>
      <w:r>
        <w:t xml:space="preserve">.</w:t>
      </w:r>
      <w:r/>
    </w:p>
    <w:p>
      <w:pPr>
        <w:pStyle w:val="1258"/>
        <w:numPr>
          <w:ilvl w:val="1"/>
          <w:numId w:val="11"/>
        </w:numPr>
        <w:ind w:left="0" w:firstLine="0"/>
        <w:keepNext/>
        <w:pageBreakBefore w:val="0"/>
        <w:spacing w:before="360" w:after="120"/>
        <w:rPr>
          <w:rFonts w:ascii="Arial" w:hAnsi="Arial"/>
          <w:sz w:val="28"/>
        </w:rPr>
        <w:outlineLvl w:val="1"/>
      </w:pPr>
      <w:r/>
      <w:bookmarkStart w:id="133" w:name="_Toc10"/>
      <w:r>
        <w:rPr>
          <w:rFonts w:ascii="Arial" w:hAnsi="Arial"/>
          <w:sz w:val="28"/>
        </w:rPr>
        <w:t xml:space="preserve">ФУНКЦИОНАЛЬНАЯ АРХИТЕКТУРА СИСТЕМЫ</w:t>
      </w:r>
      <w:bookmarkEnd w:id="133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5"/>
        <w:ind w:firstLine="709"/>
        <w:spacing w:before="0" w:after="0" w:line="360" w:lineRule="auto"/>
        <w:outlineLvl w:val="9"/>
      </w:pPr>
      <w:r>
        <w:t xml:space="preserve">Функциональная архитектура, определяющая состав функциональных подсистем и комплексов задач, обеспечивающих реализацию бизнес-про</w:t>
      </w:r>
      <w:r>
        <w:t xml:space="preserve">цессов, приведена в Разделе 5</w:t>
      </w:r>
      <w:r>
        <w:t xml:space="preserve"> документа «Техническое задание», составленного в соответствии с требованиями ФАП.</w:t>
      </w:r>
      <w:r/>
    </w:p>
    <w:p>
      <w:pPr>
        <w:pStyle w:val="1255"/>
        <w:numPr>
          <w:ilvl w:val="1"/>
          <w:numId w:val="11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34" w:name="_Toc11"/>
      <w:r/>
      <w:bookmarkStart w:id="20" w:name="_Ref527474207"/>
      <w:r/>
      <w:bookmarkStart w:id="21" w:name="_Ref527474212"/>
      <w:r>
        <w:rPr>
          <w:rFonts w:ascii="Arial" w:hAnsi="Arial"/>
          <w:sz w:val="28"/>
        </w:rPr>
        <w:t xml:space="preserve">СОСТАВ ПОКАЗАТЕЛЕЙ НАЗНАЧЕНИЯ</w:t>
      </w:r>
      <w:r>
        <w:rPr>
          <w:rFonts w:ascii="Arial" w:hAnsi="Arial"/>
          <w:sz w:val="28"/>
        </w:rPr>
        <w:t xml:space="preserve"> СИСТЕМЫ</w:t>
      </w:r>
      <w:bookmarkEnd w:id="20"/>
      <w:r/>
      <w:bookmarkEnd w:id="21"/>
      <w:r/>
      <w:bookmarkEnd w:id="134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4"/>
        <w:ind w:firstLine="709"/>
        <w:spacing w:before="0" w:after="0" w:line="360" w:lineRule="auto"/>
        <w:outlineLvl w:val="9"/>
      </w:pPr>
      <w:r>
        <w:t xml:space="preserve">Показатели назначения ИС приведены в Разделе 4.7 документа «Техническое задание», составленного в соответствии с требованиями ФАП.</w:t>
      </w:r>
      <w:r/>
    </w:p>
    <w:p>
      <w:pPr>
        <w:pStyle w:val="1255"/>
        <w:numPr>
          <w:ilvl w:val="1"/>
          <w:numId w:val="11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35" w:name="_Toc12"/>
      <w:r>
        <w:rPr>
          <w:rFonts w:ascii="Arial" w:hAnsi="Arial"/>
          <w:sz w:val="28"/>
        </w:rPr>
        <w:t xml:space="preserve">ТРЕБОВАНИЯ К БЕЗОПАСНОСТИ</w:t>
      </w:r>
      <w:bookmarkEnd w:id="135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4"/>
        <w:ind w:firstLine="709"/>
        <w:spacing w:before="0" w:after="0" w:line="360" w:lineRule="auto"/>
        <w:outlineLvl w:val="9"/>
      </w:pPr>
      <w:r>
        <w:t xml:space="preserve">Требования к безопасности приведены в Разделе 4.9 документа «Техническое задание», составленного в соответствии с требованиями ФАП</w:t>
      </w:r>
      <w:r>
        <w:t xml:space="preserve">.</w:t>
      </w:r>
      <w:r/>
    </w:p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258"/>
        <w:numPr>
          <w:ilvl w:val="0"/>
          <w:numId w:val="11"/>
        </w:numPr>
        <w:ind w:left="0" w:firstLine="0"/>
        <w:keepNext/>
        <w:pageBreakBefore w:val="0"/>
        <w:spacing w:before="360" w:after="120"/>
        <w:rPr>
          <w:rFonts w:ascii="Arial" w:hAnsi="Arial"/>
        </w:rPr>
      </w:pPr>
      <w:r/>
      <w:bookmarkStart w:id="136" w:name="_Toc13"/>
      <w:r>
        <w:rPr>
          <w:rFonts w:ascii="Arial" w:hAnsi="Arial"/>
        </w:rPr>
        <w:t xml:space="preserve">ПРОГРАММНАЯ АРХИТЕКТУРА</w:t>
      </w:r>
      <w:bookmarkEnd w:id="136"/>
      <w:r>
        <w:rPr>
          <w:rFonts w:ascii="Arial" w:hAnsi="Arial"/>
        </w:rPr>
      </w:r>
      <w:r>
        <w:rPr>
          <w:rFonts w:ascii="Arial" w:hAnsi="Arial"/>
        </w:rPr>
      </w:r>
    </w:p>
    <w:p>
      <w:pPr>
        <w:pStyle w:val="1255"/>
        <w:numPr>
          <w:ilvl w:val="1"/>
          <w:numId w:val="11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37" w:name="_Toc14"/>
      <w:r>
        <w:rPr>
          <w:rFonts w:ascii="Arial" w:hAnsi="Arial"/>
          <w:sz w:val="28"/>
        </w:rPr>
        <w:t xml:space="preserve">ОБЩИЕ ПОЛОЖЕНИЯ ПРОГРАММНОЙ АРХИТЕКТУРЫ</w:t>
      </w:r>
      <w:bookmarkEnd w:id="137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Построение программной архитектуры осуществляется на основании сопоставления функциональных требований к </w:t>
      </w:r>
      <w:r>
        <w:rPr>
          <w:rFonts w:ascii="Times New Roman" w:hAnsi="Times New Roman" w:cs="Times New Roman"/>
          <w:sz w:val="28"/>
        </w:rPr>
        <w:t xml:space="preserve">ИС</w:t>
      </w:r>
      <w:r>
        <w:rPr>
          <w:rFonts w:ascii="Times New Roman" w:hAnsi="Times New Roman" w:cs="Times New Roman"/>
          <w:sz w:val="28"/>
        </w:rPr>
        <w:t xml:space="preserve"> и/или их компонентам с функционалом, предоставляемым типовыми классами программных продуктов и/или программных платформ.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данном разделе необходимо указать, какая технология использовалась при построении ИС (например, облачная, клиент-серверная и т.п.).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необходимо указать тип архитектуры (многоуровневая, </w:t>
      </w:r>
      <w:r>
        <w:rPr>
          <w:rFonts w:ascii="Times New Roman" w:hAnsi="Times New Roman" w:cs="Times New Roman"/>
          <w:sz w:val="28"/>
        </w:rPr>
        <w:t xml:space="preserve">микро</w:t>
      </w:r>
      <w:r>
        <w:rPr>
          <w:rFonts w:ascii="Times New Roman" w:hAnsi="Times New Roman" w:cs="Times New Roman"/>
          <w:sz w:val="28"/>
        </w:rPr>
        <w:t xml:space="preserve">сервисная и т.п).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точки зрения иерархии</w:t>
      </w:r>
      <w:r>
        <w:rPr>
          <w:rFonts w:ascii="Times New Roman" w:hAnsi="Times New Roman" w:cs="Times New Roman"/>
          <w:sz w:val="28"/>
        </w:rPr>
        <w:t xml:space="preserve">,</w:t>
      </w:r>
      <w:r>
        <w:rPr>
          <w:rFonts w:ascii="Times New Roman" w:hAnsi="Times New Roman" w:cs="Times New Roman"/>
          <w:sz w:val="28"/>
        </w:rPr>
        <w:t xml:space="preserve"> архитектура </w:t>
      </w:r>
      <w:r>
        <w:rPr>
          <w:rFonts w:ascii="Times New Roman" w:hAnsi="Times New Roman" w:cs="Times New Roman"/>
          <w:sz w:val="28"/>
        </w:rPr>
        <w:t xml:space="preserve">классифицируется </w:t>
      </w:r>
      <w:r>
        <w:rPr>
          <w:rFonts w:ascii="Times New Roman" w:hAnsi="Times New Roman" w:cs="Times New Roman"/>
          <w:sz w:val="28"/>
        </w:rPr>
        <w:t xml:space="preserve">по </w:t>
      </w:r>
      <w:r>
        <w:rPr>
          <w:rFonts w:ascii="Times New Roman" w:hAnsi="Times New Roman" w:cs="Times New Roman"/>
          <w:sz w:val="28"/>
        </w:rPr>
        <w:t xml:space="preserve">3</w:t>
      </w:r>
      <w:r>
        <w:rPr>
          <w:rFonts w:ascii="Times New Roman" w:hAnsi="Times New Roman" w:cs="Times New Roman"/>
          <w:sz w:val="28"/>
        </w:rPr>
        <w:t xml:space="preserve">-м группам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1236"/>
        <w:numPr>
          <w:ilvl w:val="0"/>
          <w:numId w:val="18"/>
        </w:numPr>
        <w:ind w:left="1276"/>
        <w:spacing w:line="360" w:lineRule="auto"/>
      </w:pPr>
      <w:r>
        <w:t xml:space="preserve">одноуровнев</w:t>
      </w:r>
      <w:r>
        <w:t xml:space="preserve">ая</w:t>
      </w:r>
      <w:r>
        <w:t xml:space="preserve">;</w:t>
      </w:r>
      <w:r>
        <w:t xml:space="preserve">  </w:t>
      </w:r>
      <w:r/>
    </w:p>
    <w:p>
      <w:pPr>
        <w:pStyle w:val="1236"/>
        <w:numPr>
          <w:ilvl w:val="0"/>
          <w:numId w:val="18"/>
        </w:numPr>
        <w:ind w:left="1276"/>
        <w:spacing w:line="360" w:lineRule="auto"/>
      </w:pPr>
      <w:r>
        <w:t xml:space="preserve">двухуровнев</w:t>
      </w:r>
      <w:r>
        <w:t xml:space="preserve">ая</w:t>
      </w:r>
      <w:r>
        <w:t xml:space="preserve">;</w:t>
      </w:r>
      <w:r/>
    </w:p>
    <w:p>
      <w:pPr>
        <w:pStyle w:val="1236"/>
        <w:numPr>
          <w:ilvl w:val="0"/>
          <w:numId w:val="18"/>
        </w:numPr>
        <w:ind w:left="1276"/>
        <w:spacing w:line="360" w:lineRule="auto"/>
      </w:pPr>
      <w:r>
        <w:t xml:space="preserve">трехуровн</w:t>
      </w:r>
      <w:r>
        <w:t xml:space="preserve">ев</w:t>
      </w:r>
      <w:r>
        <w:t xml:space="preserve">ая</w:t>
      </w:r>
      <w:r>
        <w:t xml:space="preserve">.</w:t>
      </w:r>
      <w:r/>
    </w:p>
    <w:p>
      <w:pPr>
        <w:spacing w:line="360" w:lineRule="auto"/>
      </w:pPr>
      <w:r/>
      <w:r/>
    </w:p>
    <w:p>
      <w:pPr>
        <w:ind w:firstLine="708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точки зрения ра</w:t>
      </w:r>
      <w:r>
        <w:rPr>
          <w:rFonts w:ascii="Times New Roman" w:hAnsi="Times New Roman" w:cs="Times New Roman"/>
          <w:sz w:val="28"/>
        </w:rPr>
        <w:t xml:space="preserve">сп</w:t>
      </w:r>
      <w:r>
        <w:rPr>
          <w:rFonts w:ascii="Times New Roman" w:hAnsi="Times New Roman" w:cs="Times New Roman"/>
          <w:sz w:val="28"/>
        </w:rPr>
        <w:t xml:space="preserve">р</w:t>
      </w:r>
      <w:r>
        <w:rPr>
          <w:rFonts w:ascii="Times New Roman" w:hAnsi="Times New Roman" w:cs="Times New Roman"/>
          <w:sz w:val="28"/>
        </w:rPr>
        <w:t xml:space="preserve">еделенности</w:t>
      </w:r>
      <w:r>
        <w:rPr>
          <w:rFonts w:ascii="Times New Roman" w:hAnsi="Times New Roman" w:cs="Times New Roman"/>
          <w:sz w:val="28"/>
        </w:rPr>
        <w:t xml:space="preserve">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архитектура </w:t>
      </w:r>
      <w:r>
        <w:rPr>
          <w:rFonts w:ascii="Times New Roman" w:hAnsi="Times New Roman" w:cs="Times New Roman"/>
          <w:sz w:val="28"/>
        </w:rPr>
        <w:t xml:space="preserve">классифицируется по 3-м группам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1236"/>
        <w:numPr>
          <w:ilvl w:val="0"/>
          <w:numId w:val="19"/>
        </w:numPr>
        <w:ind w:left="1276" w:hanging="425"/>
        <w:spacing w:line="360" w:lineRule="auto"/>
      </w:pPr>
      <w:r>
        <w:t xml:space="preserve">централизованн</w:t>
      </w:r>
      <w:r>
        <w:t xml:space="preserve">ая;</w:t>
      </w:r>
      <w:r/>
    </w:p>
    <w:p>
      <w:pPr>
        <w:pStyle w:val="1236"/>
        <w:numPr>
          <w:ilvl w:val="0"/>
          <w:numId w:val="19"/>
        </w:numPr>
        <w:ind w:left="1276" w:hanging="425"/>
        <w:spacing w:line="360" w:lineRule="auto"/>
      </w:pPr>
      <w:r>
        <w:t xml:space="preserve">распределенн</w:t>
      </w:r>
      <w:r>
        <w:t xml:space="preserve">ая;</w:t>
      </w:r>
      <w:r/>
    </w:p>
    <w:p>
      <w:pPr>
        <w:pStyle w:val="1236"/>
        <w:numPr>
          <w:ilvl w:val="0"/>
          <w:numId w:val="19"/>
        </w:numPr>
        <w:ind w:left="1276" w:hanging="425"/>
        <w:spacing w:line="360" w:lineRule="auto"/>
      </w:pPr>
      <w:r>
        <w:t xml:space="preserve">гибридн</w:t>
      </w:r>
      <w:r>
        <w:t xml:space="preserve">ая.</w:t>
      </w:r>
      <w:r/>
    </w:p>
    <w:p>
      <w:pPr>
        <w:ind w:left="360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8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точки зрения </w:t>
      </w:r>
      <w:r>
        <w:rPr>
          <w:rFonts w:ascii="Times New Roman" w:hAnsi="Times New Roman" w:cs="Times New Roman"/>
          <w:sz w:val="28"/>
        </w:rPr>
        <w:t xml:space="preserve">наличия внутренних компонентов</w:t>
      </w:r>
      <w:r>
        <w:rPr>
          <w:rFonts w:ascii="Times New Roman" w:hAnsi="Times New Roman" w:cs="Times New Roman"/>
          <w:sz w:val="28"/>
        </w:rPr>
        <w:t xml:space="preserve">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архитектура </w:t>
      </w:r>
      <w:r>
        <w:rPr>
          <w:rFonts w:ascii="Times New Roman" w:hAnsi="Times New Roman" w:cs="Times New Roman"/>
          <w:sz w:val="28"/>
        </w:rPr>
        <w:t xml:space="preserve">классифицируется по 2-м группам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1236"/>
        <w:numPr>
          <w:ilvl w:val="0"/>
          <w:numId w:val="20"/>
        </w:numPr>
        <w:ind w:left="1276" w:hanging="425"/>
        <w:spacing w:line="360" w:lineRule="auto"/>
      </w:pPr>
      <w:r>
        <w:t xml:space="preserve">м</w:t>
      </w:r>
      <w:r>
        <w:t xml:space="preserve">онолитная</w:t>
      </w:r>
      <w:r>
        <w:t xml:space="preserve">;</w:t>
      </w:r>
      <w:r>
        <w:t xml:space="preserve"> </w:t>
      </w:r>
      <w:r/>
    </w:p>
    <w:p>
      <w:pPr>
        <w:pStyle w:val="1236"/>
        <w:numPr>
          <w:ilvl w:val="0"/>
          <w:numId w:val="20"/>
        </w:numPr>
        <w:ind w:left="1276" w:hanging="425"/>
        <w:spacing w:line="360" w:lineRule="auto"/>
      </w:pPr>
      <w:r>
        <w:t xml:space="preserve">компонентная</w:t>
      </w:r>
      <w:r>
        <w:t xml:space="preserve">.</w:t>
      </w:r>
      <w:r>
        <w:t xml:space="preserve"> </w:t>
      </w:r>
      <w:r/>
    </w:p>
    <w:p>
      <w:pPr>
        <w:ind w:firstLine="709"/>
        <w:jc w:val="both"/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</w:t>
      </w:r>
      <w:r>
        <w:rPr>
          <w:rFonts w:ascii="Times New Roman" w:hAnsi="Times New Roman" w:cs="Times New Roman"/>
          <w:sz w:val="28"/>
        </w:rPr>
        <w:t xml:space="preserve">ля многоуровневой архитектуры, архитектурная модель </w:t>
      </w:r>
      <w:r>
        <w:rPr>
          <w:rFonts w:ascii="Times New Roman" w:hAnsi="Times New Roman" w:cs="Times New Roman"/>
          <w:sz w:val="28"/>
        </w:rPr>
        <w:t xml:space="preserve">должна</w:t>
      </w:r>
      <w:r>
        <w:rPr>
          <w:rFonts w:ascii="Times New Roman" w:hAnsi="Times New Roman" w:cs="Times New Roman"/>
          <w:sz w:val="28"/>
        </w:rPr>
        <w:t xml:space="preserve"> включать слои и их описание</w:t>
      </w:r>
      <w:r>
        <w:rPr>
          <w:rFonts w:ascii="Times New Roman" w:hAnsi="Times New Roman" w:cs="Times New Roman"/>
          <w:sz w:val="28"/>
        </w:rPr>
        <w:t xml:space="preserve"> (при наличии </w:t>
      </w:r>
      <w:r>
        <w:rPr>
          <w:rFonts w:ascii="Times New Roman" w:hAnsi="Times New Roman" w:cs="Times New Roman"/>
          <w:sz w:val="28"/>
        </w:rPr>
        <w:t xml:space="preserve">данного </w:t>
      </w:r>
      <w:r>
        <w:rPr>
          <w:rFonts w:ascii="Times New Roman" w:hAnsi="Times New Roman" w:cs="Times New Roman"/>
          <w:sz w:val="28"/>
        </w:rPr>
        <w:t xml:space="preserve">слоя)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1165"/>
        <w:numPr>
          <w:ilvl w:val="0"/>
          <w:numId w:val="17"/>
        </w:numPr>
        <w:spacing w:before="0" w:after="0" w:line="360" w:lineRule="auto"/>
        <w:outlineLvl w:val="9"/>
      </w:pPr>
      <w:r>
        <w:t xml:space="preserve">с</w:t>
      </w:r>
      <w:r>
        <w:t xml:space="preserve">лой клиента – интерфейсный программный элемент, предоставляемый конечному пользователю и не имеющих прямых связей с базой данных. Желательно использование веб</w:t>
      </w:r>
      <w:r>
        <w:t xml:space="preserve">-</w:t>
      </w:r>
      <w:r>
        <w:t xml:space="preserve">браузеров, использование друг</w:t>
      </w:r>
      <w:r>
        <w:t xml:space="preserve">их средств, в т.ч. толстых клиентов, </w:t>
      </w:r>
      <w:r>
        <w:t xml:space="preserve">требует согласования;</w:t>
      </w:r>
      <w:r/>
    </w:p>
    <w:p>
      <w:pPr>
        <w:pStyle w:val="1165"/>
        <w:numPr>
          <w:ilvl w:val="0"/>
          <w:numId w:val="17"/>
        </w:numPr>
        <w:spacing w:before="0" w:after="0" w:line="360" w:lineRule="auto"/>
        <w:outlineLvl w:val="9"/>
      </w:pPr>
      <w:r>
        <w:t xml:space="preserve">с</w:t>
      </w:r>
      <w:r>
        <w:t xml:space="preserve">лои презентации – </w:t>
      </w:r>
      <w:r>
        <w:t xml:space="preserve">формирование</w:t>
      </w:r>
      <w:r>
        <w:t xml:space="preserve"> клиентск</w:t>
      </w:r>
      <w:r>
        <w:t xml:space="preserve">ого</w:t>
      </w:r>
      <w:r>
        <w:t xml:space="preserve"> контент</w:t>
      </w:r>
      <w:r>
        <w:t xml:space="preserve">а,</w:t>
      </w:r>
      <w:r>
        <w:t xml:space="preserve"> графическое оформление</w:t>
      </w:r>
      <w:r>
        <w:t xml:space="preserve">, управление передачей данных</w:t>
      </w:r>
      <w:r>
        <w:t xml:space="preserve">;</w:t>
      </w:r>
      <w:r/>
    </w:p>
    <w:p>
      <w:pPr>
        <w:pStyle w:val="1165"/>
        <w:numPr>
          <w:ilvl w:val="0"/>
          <w:numId w:val="17"/>
        </w:numPr>
        <w:spacing w:before="0" w:after="0" w:line="360" w:lineRule="auto"/>
        <w:outlineLvl w:val="9"/>
      </w:pPr>
      <w:r>
        <w:t xml:space="preserve">с</w:t>
      </w:r>
      <w:r>
        <w:t xml:space="preserve">лои бизнес-логики – на этих уровнях сосредоточена прикладная часть логики</w:t>
      </w:r>
      <w:r>
        <w:t xml:space="preserve"> </w:t>
      </w:r>
      <w:r>
        <w:t xml:space="preserve">с возможность</w:t>
      </w:r>
      <w:r>
        <w:t xml:space="preserve">ю</w:t>
      </w:r>
      <w:r>
        <w:t xml:space="preserve"> модификации со стороны </w:t>
      </w:r>
      <w:r>
        <w:t xml:space="preserve">З</w:t>
      </w:r>
      <w:r>
        <w:t xml:space="preserve">аказчика</w:t>
      </w:r>
      <w:r>
        <w:t xml:space="preserve">;</w:t>
      </w:r>
      <w:r/>
    </w:p>
    <w:p>
      <w:pPr>
        <w:pStyle w:val="1165"/>
        <w:numPr>
          <w:ilvl w:val="0"/>
          <w:numId w:val="17"/>
        </w:numPr>
        <w:spacing w:before="0" w:after="0" w:line="360" w:lineRule="auto"/>
        <w:outlineLvl w:val="9"/>
      </w:pPr>
      <w:r>
        <w:t xml:space="preserve">промежуточный слой </w:t>
      </w:r>
      <w:r>
        <w:t xml:space="preserve">– на этих уровнях</w:t>
      </w:r>
      <w:r>
        <w:t xml:space="preserve"> может выполняться взаимодействие между слоем данных и слоем клиента</w:t>
      </w:r>
      <w:r>
        <w:t xml:space="preserve">;</w:t>
      </w:r>
      <w:r/>
    </w:p>
    <w:p>
      <w:pPr>
        <w:pStyle w:val="1165"/>
        <w:numPr>
          <w:ilvl w:val="0"/>
          <w:numId w:val="17"/>
        </w:numPr>
        <w:spacing w:before="0" w:after="0" w:line="360" w:lineRule="auto"/>
        <w:outlineLvl w:val="9"/>
      </w:pPr>
      <w:r>
        <w:t xml:space="preserve">транзакционный слой </w:t>
      </w:r>
      <w:r>
        <w:t xml:space="preserve">– на этих уровнях</w:t>
      </w:r>
      <w:r>
        <w:t xml:space="preserve"> может выполняться обмен транзакциями между слоями</w:t>
      </w:r>
      <w:r>
        <w:t xml:space="preserve">;</w:t>
      </w:r>
      <w:r/>
    </w:p>
    <w:p>
      <w:pPr>
        <w:pStyle w:val="1165"/>
        <w:numPr>
          <w:ilvl w:val="0"/>
          <w:numId w:val="17"/>
        </w:numPr>
        <w:spacing w:before="0" w:after="0" w:line="360" w:lineRule="auto"/>
        <w:outlineLvl w:val="9"/>
      </w:pPr>
      <w:r>
        <w:t xml:space="preserve">с</w:t>
      </w:r>
      <w:r>
        <w:t xml:space="preserve">лои обеспечения интеграции – на этих уровнях реализуются интерфейсы взаимодействия с внешними системами и подсистемами;</w:t>
      </w:r>
      <w:r/>
    </w:p>
    <w:p>
      <w:pPr>
        <w:pStyle w:val="1165"/>
        <w:numPr>
          <w:ilvl w:val="0"/>
          <w:numId w:val="17"/>
        </w:numPr>
        <w:spacing w:before="0" w:after="0" w:line="360" w:lineRule="auto"/>
        <w:outlineLvl w:val="9"/>
      </w:pPr>
      <w:r>
        <w:t xml:space="preserve">с</w:t>
      </w:r>
      <w:r>
        <w:t xml:space="preserve">лои БПО – на этих уровнях сосредоточена системная часть платформы;</w:t>
      </w:r>
      <w:r/>
    </w:p>
    <w:p>
      <w:pPr>
        <w:pStyle w:val="1165"/>
        <w:numPr>
          <w:ilvl w:val="0"/>
          <w:numId w:val="17"/>
        </w:numPr>
        <w:spacing w:before="0" w:after="0" w:line="360" w:lineRule="auto"/>
        <w:outlineLvl w:val="9"/>
      </w:pPr>
      <w:r>
        <w:t xml:space="preserve">с</w:t>
      </w:r>
      <w:r>
        <w:t xml:space="preserve">лои данных – программные элементы</w:t>
      </w:r>
      <w:r>
        <w:t xml:space="preserve">,</w:t>
      </w:r>
      <w:r>
        <w:t xml:space="preserve"> обеспечива</w:t>
      </w:r>
      <w:r>
        <w:t xml:space="preserve">ющие</w:t>
      </w:r>
      <w:r>
        <w:t xml:space="preserve"> хранение данных  средствами СУБД</w:t>
      </w:r>
      <w:r>
        <w:t xml:space="preserve">, ФС, облачных </w:t>
      </w:r>
      <w:r>
        <w:t xml:space="preserve">и локальных </w:t>
      </w:r>
      <w:r>
        <w:t xml:space="preserve">хранилищ</w:t>
      </w:r>
      <w:r>
        <w:t xml:space="preserve">.</w:t>
      </w:r>
      <w:r/>
    </w:p>
    <w:p>
      <w:pPr>
        <w:pStyle w:val="1165"/>
        <w:spacing w:before="0" w:after="0" w:line="360" w:lineRule="auto"/>
        <w:outlineLvl w:val="9"/>
      </w:pPr>
      <w:r/>
      <w:r/>
    </w:p>
    <w:p>
      <w:pPr>
        <w:pStyle w:val="1165"/>
        <w:ind w:firstLine="709"/>
        <w:spacing w:before="0" w:after="0" w:line="360" w:lineRule="auto"/>
        <w:outlineLvl w:val="9"/>
      </w:pPr>
      <w:r>
        <w:t xml:space="preserve">Для</w:t>
      </w:r>
      <w:r>
        <w:t xml:space="preserve"> </w:t>
      </w:r>
      <w:r>
        <w:t xml:space="preserve">микро</w:t>
      </w:r>
      <w:r>
        <w:t xml:space="preserve">сервисной архитектуры должн</w:t>
      </w:r>
      <w:r>
        <w:t xml:space="preserve">а</w:t>
      </w:r>
      <w:r>
        <w:t xml:space="preserve"> быть </w:t>
      </w:r>
      <w:r>
        <w:t xml:space="preserve">указана следующая информация</w:t>
      </w:r>
      <w:r>
        <w:t xml:space="preserve">:</w:t>
      </w:r>
      <w:r/>
    </w:p>
    <w:p>
      <w:pPr>
        <w:pStyle w:val="1165"/>
        <w:numPr>
          <w:ilvl w:val="0"/>
          <w:numId w:val="12"/>
        </w:numPr>
        <w:spacing w:before="0" w:after="0" w:line="360" w:lineRule="auto"/>
        <w:outlineLvl w:val="9"/>
      </w:pPr>
      <w:r>
        <w:rPr>
          <w:bCs/>
          <w:color w:val="000000"/>
          <w:sz w:val="28"/>
          <w:szCs w:val="20"/>
        </w:rPr>
        <w:t xml:space="preserve">сгруппированный по функциям(уровням)</w:t>
      </w:r>
      <w:r>
        <w:t xml:space="preserve"> </w:t>
      </w:r>
      <w:r>
        <w:t xml:space="preserve">с</w:t>
      </w:r>
      <w:r>
        <w:t xml:space="preserve">писок сервисов (желательно в рамках их общепринятой классификации</w:t>
      </w:r>
      <w:r>
        <w:t xml:space="preserve"> </w:t>
      </w:r>
      <w:r>
        <w:rPr>
          <w:lang w:val="en-US"/>
        </w:rPr>
        <w:t xml:space="preserve">ITIL</w:t>
      </w:r>
      <w:r>
        <w:t xml:space="preserve">) </w:t>
      </w:r>
      <w:r/>
    </w:p>
    <w:p>
      <w:pPr>
        <w:pStyle w:val="1165"/>
        <w:numPr>
          <w:ilvl w:val="0"/>
          <w:numId w:val="12"/>
        </w:numPr>
        <w:spacing w:before="0" w:after="0" w:line="360" w:lineRule="auto"/>
        <w:outlineLvl w:val="9"/>
      </w:pPr>
      <w:r>
        <w:t xml:space="preserve">описание </w:t>
      </w:r>
      <w:r>
        <w:t xml:space="preserve">функций и типов </w:t>
      </w:r>
      <w:r>
        <w:t xml:space="preserve">сервисов;</w:t>
      </w:r>
      <w:r/>
    </w:p>
    <w:p>
      <w:pPr>
        <w:pStyle w:val="1165"/>
        <w:numPr>
          <w:ilvl w:val="0"/>
          <w:numId w:val="12"/>
        </w:numPr>
        <w:spacing w:before="0" w:after="0" w:line="360" w:lineRule="auto"/>
        <w:outlineLvl w:val="9"/>
      </w:pPr>
      <w:r>
        <w:t xml:space="preserve">описание </w:t>
      </w:r>
      <w:r>
        <w:t xml:space="preserve">средств обмена</w:t>
      </w:r>
      <w:r>
        <w:t xml:space="preserve"> между сервисами;</w:t>
      </w:r>
      <w:r/>
    </w:p>
    <w:p>
      <w:pPr>
        <w:pStyle w:val="1165"/>
        <w:numPr>
          <w:ilvl w:val="0"/>
          <w:numId w:val="12"/>
        </w:numPr>
        <w:spacing w:before="0" w:after="0" w:line="360" w:lineRule="auto"/>
        <w:outlineLvl w:val="9"/>
      </w:pPr>
      <w:r>
        <w:t xml:space="preserve">описание </w:t>
      </w:r>
      <w:r>
        <w:t xml:space="preserve">принципов обеспечения отказоустойчивости</w:t>
      </w:r>
      <w:r>
        <w:t xml:space="preserve"> при недоступности сервисов;</w:t>
      </w:r>
      <w:r/>
    </w:p>
    <w:p>
      <w:pPr>
        <w:pStyle w:val="1165"/>
        <w:numPr>
          <w:ilvl w:val="0"/>
          <w:numId w:val="12"/>
        </w:numPr>
        <w:spacing w:before="0" w:after="0" w:line="360" w:lineRule="auto"/>
        <w:outlineLvl w:val="9"/>
      </w:pPr>
      <w:r>
        <w:t xml:space="preserve">принципы построения </w:t>
      </w:r>
      <w:r>
        <w:t xml:space="preserve">оркестрации и масштабируемости</w:t>
      </w:r>
      <w:r>
        <w:t xml:space="preserve">.</w:t>
      </w:r>
      <w:r/>
    </w:p>
    <w:p>
      <w:pPr>
        <w:pStyle w:val="1165"/>
        <w:ind w:left="1276"/>
        <w:spacing w:before="0" w:after="0" w:line="360" w:lineRule="auto"/>
        <w:outlineLvl w:val="9"/>
      </w:pPr>
      <w:r/>
      <w:r/>
    </w:p>
    <w:p>
      <w:pPr>
        <w:ind w:firstLine="708"/>
        <w:spacing w:line="360" w:lineRule="auto"/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Для описания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архитектуры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екоменд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уется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использовать стандартные шаблоны (паттерны).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pStyle w:val="1255"/>
        <w:numPr>
          <w:ilvl w:val="1"/>
          <w:numId w:val="15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38" w:name="_Toc15"/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РЕШЕНИЯ ПРОГРАММНОЙ АРХИТЕКТУРЫ</w:t>
      </w:r>
      <w:bookmarkEnd w:id="138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5"/>
        <w:ind w:firstLine="709"/>
        <w:spacing w:before="0" w:line="360" w:lineRule="auto"/>
        <w:outlineLvl w:val="9"/>
      </w:pPr>
      <w:r>
        <w:t xml:space="preserve">В данном разделе необходимо предоставить обоснование выбора типовых программных компонентов и платформ</w:t>
      </w:r>
      <w:r>
        <w:t xml:space="preserve"> программной</w:t>
      </w:r>
      <w:r>
        <w:t xml:space="preserve"> архитектуры</w:t>
      </w:r>
      <w:r>
        <w:t xml:space="preserve">, предназначенных для решения задач в рамках функциональных требований.</w:t>
      </w:r>
      <w:r/>
    </w:p>
    <w:p>
      <w:pPr>
        <w:pStyle w:val="1255"/>
        <w:numPr>
          <w:ilvl w:val="1"/>
          <w:numId w:val="15"/>
        </w:numPr>
        <w:keepNext/>
        <w:spacing w:before="360" w:after="120"/>
        <w:rPr>
          <w:rFonts w:ascii="Arial" w:hAnsi="Arial"/>
          <w:sz w:val="28"/>
        </w:rPr>
      </w:pPr>
      <w:r/>
      <w:bookmarkStart w:id="139" w:name="_Toc16"/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СХЕМА ПРОГРАММНОЙ АРХИТЕКТУРЫ</w:t>
      </w:r>
      <w:bookmarkEnd w:id="139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251"/>
        <w:spacing w:before="0" w:after="0" w:line="360" w:lineRule="auto"/>
      </w:pPr>
      <w:r>
        <w:t xml:space="preserve">В данном разделе</w:t>
      </w:r>
      <w:r>
        <w:t xml:space="preserve"> необходимо</w:t>
      </w:r>
      <w:r>
        <w:t xml:space="preserve"> </w:t>
      </w:r>
      <w:r>
        <w:t xml:space="preserve">предоставить схему</w:t>
      </w:r>
      <w:r>
        <w:t xml:space="preserve"> программной</w:t>
      </w:r>
      <w:r>
        <w:t xml:space="preserve"> архитектуры системы</w:t>
      </w:r>
      <w:r>
        <w:t xml:space="preserve"> (Схема программной архитектуры включает функциональные элементы ИС, отраженные на схеме функциональной архитектуры, приведенной в Разделе </w:t>
      </w:r>
      <w:r>
        <w:t xml:space="preserve">5</w:t>
      </w:r>
      <w:r>
        <w:t xml:space="preserve"> документа</w:t>
      </w:r>
      <w:r>
        <w:t xml:space="preserve"> «Техническое задание»</w:t>
      </w:r>
      <w:r>
        <w:t xml:space="preserve"> и решения по их реализации с использованием т</w:t>
      </w:r>
      <w:r>
        <w:t xml:space="preserve">иповы</w:t>
      </w:r>
      <w:r>
        <w:t xml:space="preserve">х</w:t>
      </w:r>
      <w:r>
        <w:t xml:space="preserve"> класс</w:t>
      </w:r>
      <w:r>
        <w:t xml:space="preserve">ов</w:t>
      </w:r>
      <w:r>
        <w:t xml:space="preserve"> программных продуктов и </w:t>
      </w:r>
      <w:r>
        <w:t xml:space="preserve">программных платформ</w:t>
      </w:r>
      <w:r>
        <w:t xml:space="preserve">, с указанием точек отказа, мониторинга, масштабируемости</w:t>
      </w:r>
      <w:r>
        <w:t xml:space="preserve"> и т.п.).</w:t>
      </w:r>
      <w:r/>
    </w:p>
    <w:p>
      <w:pPr>
        <w:ind w:firstLine="567"/>
        <w:spacing w:line="360" w:lineRule="auto"/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Может быть детализирована до уровня ар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хитектур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ы конкретных приложений либо их комплексов.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pStyle w:val="1255"/>
        <w:numPr>
          <w:ilvl w:val="1"/>
          <w:numId w:val="15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40" w:name="_Toc17"/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ПРОГРАММНОЕ ВЗАИМОДЕЙСТВИЕ </w:t>
      </w:r>
      <w:r>
        <w:rPr>
          <w:rFonts w:ascii="Arial" w:hAnsi="Arial"/>
          <w:sz w:val="28"/>
        </w:rPr>
        <w:t xml:space="preserve">ИС</w:t>
      </w:r>
      <w:r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</w:rPr>
        <w:t xml:space="preserve">И КОМПОНЕНТОВ</w:t>
      </w:r>
      <w:bookmarkEnd w:id="140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5"/>
        <w:ind w:firstLine="709"/>
        <w:spacing w:before="0" w:after="0" w:line="360" w:lineRule="auto"/>
        <w:rPr>
          <w:szCs w:val="28"/>
        </w:rPr>
        <w:outlineLvl w:val="9"/>
      </w:pPr>
      <w:r>
        <w:rPr>
          <w:szCs w:val="28"/>
        </w:rPr>
        <w:t xml:space="preserve">В данном разделе необходимо описать программное взаимодействие, обеспечивающее реализацию процессов функционального взаимодействия на уровне программного обеспечения ИС и компонентов.</w:t>
      </w:r>
      <w:r>
        <w:rPr>
          <w:szCs w:val="28"/>
        </w:rPr>
        <w:t xml:space="preserve"> Описание также должно включать описание схемы из пункта 3.3 настоящего документа в части взаимодействия.</w:t>
      </w:r>
      <w:r>
        <w:rPr>
          <w:szCs w:val="28"/>
        </w:rPr>
      </w:r>
      <w:r>
        <w:rPr>
          <w:szCs w:val="28"/>
        </w:rPr>
      </w:r>
    </w:p>
    <w:p>
      <w:pPr>
        <w:pStyle w:val="1258"/>
        <w:numPr>
          <w:ilvl w:val="0"/>
          <w:numId w:val="15"/>
        </w:numPr>
        <w:ind w:left="0" w:firstLine="0"/>
        <w:keepNext/>
        <w:pageBreakBefore w:val="0"/>
        <w:spacing w:before="360" w:after="120"/>
        <w:rPr>
          <w:rFonts w:ascii="Arial" w:hAnsi="Arial"/>
        </w:rPr>
      </w:pPr>
      <w:r/>
      <w:bookmarkStart w:id="141" w:name="_Toc18"/>
      <w:r>
        <w:rPr>
          <w:rFonts w:ascii="Arial" w:hAnsi="Arial"/>
        </w:rPr>
        <w:t xml:space="preserve">АРХИТЕКТУРА ДАННЫХ</w:t>
      </w:r>
      <w:bookmarkEnd w:id="141"/>
      <w:r>
        <w:rPr>
          <w:rFonts w:ascii="Arial" w:hAnsi="Arial"/>
        </w:rPr>
      </w:r>
      <w:r>
        <w:rPr>
          <w:rFonts w:ascii="Arial" w:hAnsi="Arial"/>
        </w:rPr>
      </w:r>
    </w:p>
    <w:p>
      <w:pPr>
        <w:pStyle w:val="1255"/>
        <w:numPr>
          <w:ilvl w:val="1"/>
          <w:numId w:val="16"/>
        </w:numPr>
        <w:keepNext/>
        <w:spacing w:before="360" w:after="120"/>
        <w:rPr>
          <w:rFonts w:ascii="Arial" w:hAnsi="Arial"/>
          <w:sz w:val="28"/>
        </w:rPr>
      </w:pPr>
      <w:r/>
      <w:bookmarkStart w:id="142" w:name="_Toc19"/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ПРИНЦИПЫ РАБОТЫ С ДАННЫМИ</w:t>
      </w:r>
      <w:bookmarkEnd w:id="142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4"/>
        <w:ind w:firstLine="709"/>
        <w:spacing w:after="0" w:line="360" w:lineRule="auto"/>
        <w:outlineLvl w:val="9"/>
      </w:pPr>
      <w:r>
        <w:t xml:space="preserve">В данном разделе необходимо перечислить основные принципы</w:t>
      </w:r>
      <w:r>
        <w:t xml:space="preserve"> работы с данными в </w:t>
      </w:r>
      <w:r>
        <w:t xml:space="preserve">ИС.</w:t>
      </w:r>
      <w:r/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43" w:name="_Toc20"/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КАТЕГОРИИ ДАННЫХ В СИСТЕМЕ</w:t>
      </w:r>
      <w:bookmarkEnd w:id="143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4"/>
        <w:ind w:firstLine="709"/>
        <w:spacing w:after="0" w:line="360" w:lineRule="auto"/>
        <w:outlineLvl w:val="9"/>
      </w:pPr>
      <w:r>
        <w:t xml:space="preserve">В данном разделе необходимо перечислить все категории данных, которые будут храниться и обрабатываться в ИС.</w:t>
      </w:r>
      <w:r/>
    </w:p>
    <w:p>
      <w:pPr>
        <w:pStyle w:val="1164"/>
        <w:ind w:firstLine="709"/>
        <w:spacing w:after="0" w:line="360" w:lineRule="auto"/>
        <w:outlineLvl w:val="9"/>
      </w:pPr>
      <w:r>
        <w:t xml:space="preserve">Нап</w:t>
      </w:r>
      <w:r>
        <w:t xml:space="preserve">ример, х</w:t>
      </w:r>
      <w:r>
        <w:t xml:space="preserve">ранящие</w:t>
      </w:r>
      <w:r>
        <w:t xml:space="preserve">ся и обрабатываемые в ИС </w:t>
      </w:r>
      <w:r>
        <w:t xml:space="preserve">данные можно разделить по назначению</w:t>
      </w:r>
      <w:r>
        <w:t xml:space="preserve"> </w:t>
      </w:r>
      <w:r>
        <w:t xml:space="preserve">при выполнении бизнес-процессов и процессов эксплуатации </w:t>
      </w:r>
      <w:r>
        <w:t xml:space="preserve">ИС</w:t>
      </w:r>
      <w:r>
        <w:t xml:space="preserve"> на следующие основные категории:</w:t>
      </w:r>
      <w:r/>
    </w:p>
    <w:p>
      <w:pPr>
        <w:pStyle w:val="1164"/>
        <w:numPr>
          <w:ilvl w:val="0"/>
          <w:numId w:val="13"/>
        </w:numPr>
        <w:spacing w:after="0" w:line="360" w:lineRule="auto"/>
        <w:outlineLvl w:val="9"/>
      </w:pPr>
      <w:r>
        <w:t xml:space="preserve">нормативно-справочная информация – справочники, классификаторы и реестры;</w:t>
      </w:r>
      <w:r/>
    </w:p>
    <w:p>
      <w:pPr>
        <w:pStyle w:val="1164"/>
        <w:numPr>
          <w:ilvl w:val="0"/>
          <w:numId w:val="13"/>
        </w:numPr>
        <w:spacing w:after="0" w:line="360" w:lineRule="auto"/>
        <w:outlineLvl w:val="9"/>
      </w:pPr>
      <w:r>
        <w:t xml:space="preserve">метаинформация – данные, описывающие предметную область: состав и характеристики бизнес-процессов, структуру, правила отображение и контро</w:t>
      </w:r>
      <w:r>
        <w:t xml:space="preserve">л</w:t>
      </w:r>
      <w:r>
        <w:t xml:space="preserve">я данных;</w:t>
      </w:r>
      <w:r/>
    </w:p>
    <w:p>
      <w:pPr>
        <w:pStyle w:val="1164"/>
        <w:numPr>
          <w:ilvl w:val="0"/>
          <w:numId w:val="13"/>
        </w:numPr>
        <w:spacing w:after="0" w:line="360" w:lineRule="auto"/>
        <w:outlineLvl w:val="9"/>
      </w:pPr>
      <w:r>
        <w:t xml:space="preserve">транзакционные данные</w:t>
      </w:r>
      <w:r>
        <w:t xml:space="preserve"> </w:t>
      </w:r>
      <w:r>
        <w:t xml:space="preserve">– данные, в том числе поступающие в Систему в виде экземпляров формуляров,</w:t>
      </w:r>
      <w:r>
        <w:t xml:space="preserve"> </w:t>
      </w:r>
      <w:r>
        <w:t xml:space="preserve">для отражения в накопительных и аналитических регистрах транзакционных </w:t>
      </w:r>
      <w:r>
        <w:t xml:space="preserve">ИС</w:t>
      </w:r>
      <w:r>
        <w:t xml:space="preserve">;</w:t>
      </w:r>
      <w:r/>
    </w:p>
    <w:p>
      <w:pPr>
        <w:pStyle w:val="1164"/>
        <w:numPr>
          <w:ilvl w:val="0"/>
          <w:numId w:val="13"/>
        </w:numPr>
        <w:spacing w:after="0" w:line="360" w:lineRule="auto"/>
        <w:outlineLvl w:val="9"/>
      </w:pPr>
      <w:r>
        <w:t xml:space="preserve">аналитические данные – данные, полученные из </w:t>
      </w:r>
      <w:r>
        <w:t xml:space="preserve">ИС </w:t>
      </w:r>
      <w:r>
        <w:t xml:space="preserve">и внешних систем и преобразованные для целей их аналитической обработки (многомерные кубы, агрегация), а также результаты аналитической обработки указанных данных;</w:t>
      </w:r>
      <w:r/>
    </w:p>
    <w:p>
      <w:pPr>
        <w:pStyle w:val="1164"/>
        <w:numPr>
          <w:ilvl w:val="0"/>
          <w:numId w:val="13"/>
        </w:numPr>
        <w:spacing w:after="0" w:line="360" w:lineRule="auto"/>
        <w:outlineLvl w:val="9"/>
      </w:pPr>
      <w:r>
        <w:t xml:space="preserve">статистические</w:t>
      </w:r>
      <w:r>
        <w:t xml:space="preserve"> </w:t>
      </w:r>
      <w:r>
        <w:t xml:space="preserve">данные – данные из экземпляров формуляров после их статистической обработки;</w:t>
      </w:r>
      <w:r/>
    </w:p>
    <w:p>
      <w:pPr>
        <w:pStyle w:val="1164"/>
        <w:numPr>
          <w:ilvl w:val="0"/>
          <w:numId w:val="13"/>
        </w:numPr>
        <w:spacing w:after="0" w:line="360" w:lineRule="auto"/>
        <w:outlineLvl w:val="9"/>
      </w:pPr>
      <w:r>
        <w:t xml:space="preserve">служебные данные – данные, необходимые для обеспечения функционирования и администрирования </w:t>
      </w:r>
      <w:r>
        <w:t xml:space="preserve">ИС</w:t>
      </w:r>
      <w:r>
        <w:t xml:space="preserve">, в том числе: данные мониторинга, новое и обновленное программное обеспечение </w:t>
      </w:r>
      <w:r>
        <w:t xml:space="preserve">ИС.</w:t>
      </w:r>
      <w:r/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44" w:name="_Toc21"/>
      <w:r>
        <w:rPr>
          <w:rFonts w:ascii="Arial" w:hAnsi="Arial"/>
          <w:sz w:val="28"/>
        </w:rPr>
        <w:t xml:space="preserve">СТРУКТУРА ДАННЫХ</w:t>
      </w:r>
      <w:bookmarkEnd w:id="144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ind w:firstLine="708"/>
        <w:spacing w:line="360" w:lineRule="auto"/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С точки зрения своей внутренней структуры, данные можно они разделить на 2 типа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pStyle w:val="1236"/>
        <w:numPr>
          <w:ilvl w:val="0"/>
          <w:numId w:val="24"/>
        </w:numPr>
        <w:contextualSpacing/>
        <w:ind w:left="1276" w:hanging="567"/>
        <w:jc w:val="left"/>
        <w:spacing w:after="160" w:line="360" w:lineRule="auto"/>
        <w:rPr>
          <w:bCs/>
        </w:rPr>
      </w:pPr>
      <w:r>
        <w:rPr>
          <w:bCs/>
        </w:rPr>
        <w:t xml:space="preserve">структурированные данные – имеющие описания структуры в ИС;</w:t>
      </w:r>
      <w:r>
        <w:rPr>
          <w:bCs/>
        </w:rPr>
      </w:r>
      <w:r>
        <w:rPr>
          <w:bCs/>
        </w:rPr>
      </w:r>
    </w:p>
    <w:p>
      <w:pPr>
        <w:pStyle w:val="1164"/>
        <w:numPr>
          <w:ilvl w:val="0"/>
          <w:numId w:val="24"/>
        </w:numPr>
        <w:ind w:left="1276" w:hanging="567"/>
        <w:spacing w:after="0" w:line="360" w:lineRule="auto"/>
        <w:outlineLvl w:val="9"/>
      </w:pPr>
      <w:r>
        <w:t xml:space="preserve">неструктурированные данные – </w:t>
      </w:r>
      <w:r>
        <w:t xml:space="preserve">н</w:t>
      </w:r>
      <w:r>
        <w:t xml:space="preserve">е</w:t>
      </w:r>
      <w:r>
        <w:t xml:space="preserve"> </w:t>
      </w:r>
      <w:r>
        <w:t xml:space="preserve">имеющие заранее определенной структуры данных, либо неорганизованные в установленном порядке.</w:t>
      </w:r>
      <w:r>
        <w:t xml:space="preserve"> </w:t>
      </w:r>
      <w:r/>
    </w:p>
    <w:p>
      <w:pPr>
        <w:pStyle w:val="1164"/>
        <w:ind w:left="720"/>
        <w:spacing w:after="0" w:line="360" w:lineRule="auto"/>
        <w:outlineLvl w:val="9"/>
      </w:pPr>
      <w:r/>
      <w:r/>
    </w:p>
    <w:p>
      <w:pPr>
        <w:ind w:firstLine="708"/>
        <w:spacing w:line="360" w:lineRule="auto"/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Примечание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Если данные даже частично структурированы, в данным случае они все равно будут считаться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неструктурированными (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несмотря на то, что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в некоторых источниках для них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может использоваться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термин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полу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структурированные»).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Концептуальная модель хранилища данных представляет собой описание главных (основных) сущностей и отношений между ними. Концептуальная модель является отражением предметных областей, в рамках которых планируется построение хранилища данных.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Логическая модель расширяет концептуальную путем определения для сущностей их атрибутов, описаний и ограничений, уточняет состав сущностей и взаимосвязи между ними.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pStyle w:val="1259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Различают четыре логические модели данных: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pStyle w:val="1236"/>
        <w:numPr>
          <w:ilvl w:val="0"/>
          <w:numId w:val="23"/>
        </w:numPr>
        <w:contextualSpacing/>
        <w:ind w:left="1418" w:hanging="567"/>
        <w:jc w:val="left"/>
        <w:spacing w:after="160" w:line="360" w:lineRule="auto"/>
        <w:rPr>
          <w:bCs/>
        </w:rPr>
      </w:pPr>
      <w:r>
        <w:rPr>
          <w:bCs/>
        </w:rPr>
        <w:t xml:space="preserve">иерархические;</w:t>
      </w:r>
      <w:r>
        <w:rPr>
          <w:bCs/>
        </w:rPr>
      </w:r>
      <w:r>
        <w:rPr>
          <w:bCs/>
        </w:rPr>
      </w:r>
    </w:p>
    <w:p>
      <w:pPr>
        <w:pStyle w:val="1236"/>
        <w:numPr>
          <w:ilvl w:val="0"/>
          <w:numId w:val="23"/>
        </w:numPr>
        <w:contextualSpacing/>
        <w:ind w:left="1418" w:hanging="567"/>
        <w:jc w:val="left"/>
        <w:spacing w:after="160" w:line="360" w:lineRule="auto"/>
        <w:rPr>
          <w:bCs/>
        </w:rPr>
      </w:pPr>
      <w:r>
        <w:rPr>
          <w:bCs/>
        </w:rPr>
        <w:t xml:space="preserve">сетевые;</w:t>
      </w:r>
      <w:r>
        <w:rPr>
          <w:bCs/>
        </w:rPr>
      </w:r>
      <w:r>
        <w:rPr>
          <w:bCs/>
        </w:rPr>
      </w:r>
    </w:p>
    <w:p>
      <w:pPr>
        <w:pStyle w:val="1236"/>
        <w:numPr>
          <w:ilvl w:val="0"/>
          <w:numId w:val="23"/>
        </w:numPr>
        <w:contextualSpacing/>
        <w:ind w:left="1418" w:hanging="567"/>
        <w:jc w:val="left"/>
        <w:spacing w:after="160" w:line="360" w:lineRule="auto"/>
        <w:rPr>
          <w:bCs/>
        </w:rPr>
      </w:pPr>
      <w:r>
        <w:rPr>
          <w:bCs/>
        </w:rPr>
        <w:t xml:space="preserve">реляционные;</w:t>
      </w:r>
      <w:r>
        <w:rPr>
          <w:bCs/>
        </w:rPr>
      </w:r>
      <w:r>
        <w:rPr>
          <w:bCs/>
        </w:rPr>
      </w:r>
    </w:p>
    <w:p>
      <w:pPr>
        <w:pStyle w:val="1236"/>
        <w:numPr>
          <w:ilvl w:val="0"/>
          <w:numId w:val="23"/>
        </w:numPr>
        <w:contextualSpacing/>
        <w:ind w:left="1418" w:hanging="567"/>
        <w:jc w:val="left"/>
        <w:spacing w:after="160" w:line="360" w:lineRule="auto"/>
        <w:rPr>
          <w:bCs/>
        </w:rPr>
      </w:pPr>
      <w:r>
        <w:rPr>
          <w:bCs/>
        </w:rPr>
        <w:t xml:space="preserve">многомерные.</w:t>
      </w:r>
      <w:r>
        <w:rPr>
          <w:bCs/>
        </w:rPr>
      </w:r>
      <w:r>
        <w:rPr>
          <w:bCs/>
        </w:rPr>
      </w:r>
    </w:p>
    <w:p>
      <w:pPr>
        <w:pStyle w:val="1255"/>
        <w:numPr>
          <w:ilvl w:val="2"/>
          <w:numId w:val="16"/>
        </w:numPr>
        <w:keepNext/>
        <w:spacing w:before="360" w:after="120"/>
        <w:rPr>
          <w:rFonts w:ascii="Arial" w:hAnsi="Arial"/>
          <w:sz w:val="28"/>
        </w:rPr>
      </w:pPr>
      <w:r/>
      <w:bookmarkStart w:id="145" w:name="_Toc22"/>
      <w:r>
        <w:rPr>
          <w:rFonts w:ascii="Arial" w:hAnsi="Arial"/>
          <w:sz w:val="28"/>
        </w:rPr>
        <w:t xml:space="preserve">УРОВНИ ЛОГИЧЕСКОЙ МОДЕЛИ</w:t>
      </w:r>
      <w:bookmarkEnd w:id="145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259"/>
        <w:spacing w:line="360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Различают три уровня логической модели, отличающихся по глубине представления информации о данных: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pStyle w:val="1259"/>
        <w:numPr>
          <w:ilvl w:val="0"/>
          <w:numId w:val="22"/>
        </w:numPr>
        <w:ind w:hanging="577"/>
        <w:spacing w:line="360" w:lineRule="auto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  <w:lang w:val="ru-RU"/>
        </w:rPr>
        <w:t xml:space="preserve">диаграмма</w:t>
      </w:r>
      <w:r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  <w:lang w:val="ru-RU"/>
        </w:rPr>
        <w:t xml:space="preserve">сущность</w:t>
      </w:r>
      <w:r>
        <w:rPr>
          <w:rFonts w:eastAsia="Times New Roman"/>
          <w:bCs/>
          <w:sz w:val="28"/>
        </w:rPr>
        <w:t xml:space="preserve">-</w:t>
      </w:r>
      <w:r>
        <w:rPr>
          <w:rFonts w:eastAsia="Times New Roman"/>
          <w:bCs/>
          <w:sz w:val="28"/>
          <w:lang w:val="ru-RU"/>
        </w:rPr>
        <w:t xml:space="preserve">связь</w:t>
      </w:r>
      <w:r>
        <w:rPr>
          <w:rFonts w:eastAsia="Times New Roman"/>
          <w:bCs/>
          <w:sz w:val="28"/>
        </w:rPr>
        <w:t xml:space="preserve"> (Entity Relationship Diagram, ERD);</w:t>
      </w:r>
      <w:r>
        <w:rPr>
          <w:rFonts w:eastAsia="Times New Roman"/>
          <w:bCs/>
          <w:sz w:val="28"/>
        </w:rPr>
      </w:r>
      <w:r>
        <w:rPr>
          <w:rFonts w:eastAsia="Times New Roman"/>
          <w:bCs/>
          <w:sz w:val="28"/>
        </w:rPr>
      </w:r>
    </w:p>
    <w:p>
      <w:pPr>
        <w:pStyle w:val="1259"/>
        <w:numPr>
          <w:ilvl w:val="0"/>
          <w:numId w:val="22"/>
        </w:numPr>
        <w:ind w:hanging="577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модель данных, основанная на ключах (Key Based model, KB);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pStyle w:val="1259"/>
        <w:numPr>
          <w:ilvl w:val="0"/>
          <w:numId w:val="22"/>
        </w:numPr>
        <w:ind w:hanging="577"/>
        <w:spacing w:line="360" w:lineRule="auto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  <w:lang w:val="ru-RU"/>
        </w:rPr>
        <w:t xml:space="preserve">полная</w:t>
      </w:r>
      <w:r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  <w:lang w:val="ru-RU"/>
        </w:rPr>
        <w:t xml:space="preserve">атрибутивная</w:t>
      </w:r>
      <w:r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  <w:lang w:val="ru-RU"/>
        </w:rPr>
        <w:t xml:space="preserve">модель</w:t>
      </w:r>
      <w:r>
        <w:rPr>
          <w:rFonts w:eastAsia="Times New Roman"/>
          <w:bCs/>
          <w:sz w:val="28"/>
        </w:rPr>
        <w:t xml:space="preserve"> (Fully Attributed model, FA).</w:t>
      </w:r>
      <w:r>
        <w:rPr>
          <w:rFonts w:eastAsia="Times New Roman"/>
          <w:bCs/>
          <w:sz w:val="28"/>
        </w:rPr>
      </w:r>
      <w:r>
        <w:rPr>
          <w:rFonts w:eastAsia="Times New Roman"/>
          <w:bCs/>
          <w:sz w:val="28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</w:r>
      <w:r>
        <w:rPr>
          <w:rFonts w:eastAsia="Times New Roman"/>
          <w:bCs/>
          <w:sz w:val="28"/>
        </w:rPr>
      </w:r>
      <w:r>
        <w:rPr>
          <w:rFonts w:eastAsia="Times New Roman"/>
          <w:bCs/>
          <w:sz w:val="28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Диаграмма сущность-связь представляет собой модель данных верхнего уровня. Она включает сущности и взаимосвязи, отражающие основные бизнес-</w:t>
      </w:r>
      <w:r>
        <w:rPr>
          <w:rFonts w:eastAsia="Times New Roman"/>
          <w:bCs/>
          <w:sz w:val="28"/>
          <w:lang w:val="ru-RU"/>
        </w:rPr>
        <w:t xml:space="preserve">правила предметной области. Такая диаграмма не слишком детализирована, в нее включаются основные сущности и связи между ними, которые удо</w:t>
      </w:r>
      <w:r>
        <w:rPr>
          <w:rFonts w:eastAsia="Times New Roman"/>
          <w:bCs/>
          <w:sz w:val="28"/>
          <w:lang w:val="ru-RU"/>
        </w:rPr>
        <w:t xml:space="preserve">влетворяют основным требованиям, предъявляемым к ИС. Диаграмма сущность-связь может включать связи многие-ко-многим и не включать описание ключей. Как правило, ERD используется для презентаций и обсуждения структуры данных с экспертами предметной области. </w:t>
      </w:r>
      <w:r>
        <w:rPr>
          <w:rFonts w:eastAsia="Times New Roman"/>
          <w:bCs/>
          <w:sz w:val="28"/>
          <w:lang w:val="ru-RU"/>
        </w:rPr>
        <w:t xml:space="preserve">Для ее описания может быть использована любая из нотаций</w:t>
      </w:r>
      <w:r>
        <w:rPr>
          <w:rFonts w:eastAsia="Times New Roman"/>
          <w:bCs/>
          <w:sz w:val="28"/>
          <w:lang w:val="ru-RU"/>
        </w:rPr>
        <w:t xml:space="preserve">: </w:t>
      </w:r>
      <w:r>
        <w:rPr>
          <w:rFonts w:eastAsia="Times New Roman"/>
          <w:bCs/>
          <w:sz w:val="28"/>
          <w:lang w:val="ru-RU"/>
        </w:rPr>
        <w:t xml:space="preserve">IDEF1x, UML, Питера Чена, др.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Модель данных, основанная на ключах - более подробное представление данных. Она включает описание всех сущностей и первичных ключей и предназначена для представления структуры данных и ключей, которые соответствуют предметной области.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Полная атрибутивная модель - наиболее детальное представление структуры данных: представляет данные в </w:t>
      </w:r>
      <w:hyperlink w:tooltip="#НФ3" w:anchor="НФ3" w:history="1">
        <w:r>
          <w:rPr>
            <w:rFonts w:eastAsia="Times New Roman"/>
            <w:bCs/>
            <w:sz w:val="28"/>
            <w:lang w:val="ru-RU"/>
          </w:rPr>
          <w:t xml:space="preserve">третьей нормальной форме</w:t>
        </w:r>
      </w:hyperlink>
      <w:r>
        <w:rPr>
          <w:rFonts w:eastAsia="Times New Roman"/>
          <w:bCs/>
          <w:sz w:val="28"/>
          <w:lang w:val="ru-RU"/>
        </w:rPr>
        <w:t xml:space="preserve"> и включает все сущности, атрибуты и связи.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pStyle w:val="1259"/>
        <w:ind w:firstLine="708"/>
        <w:spacing w:line="360" w:lineRule="auto"/>
        <w:rPr>
          <w:rFonts w:eastAsia="Times New Roman"/>
          <w:bCs/>
          <w:sz w:val="28"/>
          <w:lang w:val="ru-RU"/>
        </w:rPr>
      </w:pPr>
      <w:r>
        <w:rPr>
          <w:rFonts w:eastAsia="Times New Roman"/>
          <w:bCs/>
          <w:sz w:val="28"/>
          <w:lang w:val="ru-RU"/>
        </w:rPr>
        <w:t xml:space="preserve">Создание схемы базы данных </w:t>
      </w:r>
      <w:r>
        <w:rPr>
          <w:rFonts w:eastAsia="Times New Roman"/>
          <w:bCs/>
          <w:sz w:val="28"/>
          <w:lang w:val="ru-RU"/>
        </w:rPr>
        <w:t xml:space="preserve">выполняется </w:t>
      </w:r>
      <w:r>
        <w:rPr>
          <w:rFonts w:eastAsia="Times New Roman"/>
          <w:bCs/>
          <w:sz w:val="28"/>
          <w:lang w:val="ru-RU"/>
        </w:rPr>
        <w:t xml:space="preserve">н</w:t>
      </w:r>
      <w:r>
        <w:rPr>
          <w:rFonts w:eastAsia="Times New Roman"/>
          <w:bCs/>
          <w:sz w:val="28"/>
          <w:lang w:val="ru-RU"/>
        </w:rPr>
        <w:t xml:space="preserve">а основе конкретной модели данных, например, реляционной модели данных. Для реляционной модели данных даталогическая модель — набор схем отношений, обычно с указанием первичных ключей, а также «связей» между отношениями, представляющих собой внешние ключи.</w:t>
      </w:r>
      <w:r>
        <w:rPr>
          <w:rFonts w:eastAsia="Times New Roman"/>
          <w:bCs/>
          <w:sz w:val="28"/>
          <w:lang w:val="ru-RU"/>
        </w:rPr>
      </w:r>
      <w:r>
        <w:rPr>
          <w:rFonts w:eastAsia="Times New Roman"/>
          <w:bCs/>
          <w:sz w:val="28"/>
          <w:lang w:val="ru-RU"/>
        </w:rPr>
      </w:r>
    </w:p>
    <w:p>
      <w:pP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pStyle w:val="1236"/>
        <w:ind w:left="0" w:firstLine="709"/>
        <w:spacing w:line="360" w:lineRule="auto"/>
        <w:rPr>
          <w:szCs w:val="28"/>
        </w:rPr>
      </w:pPr>
      <w:r>
        <w:rPr>
          <w:szCs w:val="28"/>
        </w:rPr>
        <w:t xml:space="preserve">Описание таблиц и входящих в них реквизитов, а также ER-диаграммы связей представлены в Разделе 2.1 документа «Описание организации информационной базы»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1236"/>
        <w:ind w:left="0" w:firstLine="709"/>
        <w:spacing w:line="36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236"/>
        <w:ind w:left="0" w:firstLine="709"/>
        <w:spacing w:line="360" w:lineRule="auto"/>
      </w:pPr>
      <w:r>
        <w:rPr>
          <w:szCs w:val="28"/>
        </w:rPr>
        <w:t xml:space="preserve">В данном разделе необходимо предоставить </w:t>
      </w:r>
      <w:r>
        <w:rPr>
          <w:szCs w:val="28"/>
        </w:rPr>
        <w:t xml:space="preserve">описание степени нормализации</w:t>
      </w:r>
      <w:r>
        <w:rPr>
          <w:szCs w:val="28"/>
        </w:rPr>
        <w:t xml:space="preserve"> или </w:t>
      </w:r>
      <w:r>
        <w:rPr>
          <w:szCs w:val="28"/>
        </w:rPr>
        <w:t xml:space="preserve">денормализации</w:t>
      </w:r>
      <w:r>
        <w:t xml:space="preserve">, с указанием причин, целей и способов поддержания </w:t>
      </w:r>
      <w:r>
        <w:t xml:space="preserve">актуального состояния денормализованных</w:t>
      </w:r>
      <w:r>
        <w:t xml:space="preserve"> </w:t>
      </w:r>
      <w:r>
        <w:t xml:space="preserve">данных</w:t>
      </w:r>
      <w:r>
        <w:t xml:space="preserve">.</w:t>
      </w:r>
      <w:r>
        <w:t xml:space="preserve"> </w:t>
      </w:r>
      <w:r/>
    </w:p>
    <w:p>
      <w:pPr>
        <w:ind w:firstLine="708"/>
        <w:spacing w:line="360" w:lineRule="auto"/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Для файловых систем могут быть приведены схемы или описание иерархии их каталогов.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ind w:firstLine="708"/>
        <w:spacing w:line="360" w:lineRule="auto"/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Для объектных хранилищ должны быть представлены состав каталогов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бакетов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), ролево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й схемы доступа и политики управления содержимым (разделение на постоянное и временное хранение, регламенты и алгоритмы очистки временных данных).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Также здесь может быть размещено описание формата ряда данных, например, лицевых счетов бухгалтерского учета. </w:t>
      </w:r>
      <w:r/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46" w:name="_Toc23"/>
      <w:r>
        <w:rPr>
          <w:rFonts w:ascii="Arial" w:hAnsi="Arial"/>
          <w:sz w:val="28"/>
        </w:rPr>
        <w:t xml:space="preserve">СХЕМЫ ПОТОКОВ ДАННЫХ</w:t>
      </w:r>
      <w:bookmarkEnd w:id="146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4"/>
        <w:ind w:firstLine="709"/>
        <w:spacing w:after="0" w:line="360" w:lineRule="auto"/>
        <w:outlineLvl w:val="9"/>
      </w:pPr>
      <w:r>
        <w:t xml:space="preserve">Общ</w:t>
      </w:r>
      <w:r>
        <w:t xml:space="preserve">ие</w:t>
      </w:r>
      <w:r>
        <w:t xml:space="preserve"> </w:t>
      </w:r>
      <w:r>
        <w:t xml:space="preserve">требования к </w:t>
      </w:r>
      <w:r>
        <w:t xml:space="preserve">схем</w:t>
      </w:r>
      <w:r>
        <w:t xml:space="preserve">е</w:t>
      </w:r>
      <w:r>
        <w:t xml:space="preserve"> информационных потоков между функциональными областями ИС представлена в Разделе 4.3.</w:t>
      </w:r>
      <w:r>
        <w:t xml:space="preserve">4</w:t>
      </w:r>
      <w:r>
        <w:t xml:space="preserve"> документа «Техническое задание».</w:t>
      </w:r>
      <w:r/>
    </w:p>
    <w:p>
      <w:pPr>
        <w:pStyle w:val="1164"/>
        <w:ind w:firstLine="709"/>
        <w:spacing w:after="0" w:line="360" w:lineRule="auto"/>
        <w:outlineLvl w:val="9"/>
      </w:pPr>
      <w:r>
        <w:t xml:space="preserve">В данном разделе необходимо </w:t>
      </w:r>
      <w:r>
        <w:t xml:space="preserve">подробно </w:t>
      </w:r>
      <w:r>
        <w:t xml:space="preserve">описать кажду</w:t>
      </w:r>
      <w:r>
        <w:t xml:space="preserve">ю категорию данных</w:t>
      </w:r>
      <w:r>
        <w:t xml:space="preserve"> из </w:t>
      </w:r>
      <w:r>
        <w:t xml:space="preserve">указанную</w:t>
      </w:r>
      <w:r>
        <w:t xml:space="preserve"> в </w:t>
      </w:r>
      <w:r>
        <w:t xml:space="preserve">Р</w:t>
      </w:r>
      <w:r>
        <w:t xml:space="preserve">азделе </w:t>
      </w:r>
      <w:r>
        <w:t xml:space="preserve">4</w:t>
      </w:r>
      <w:r>
        <w:t xml:space="preserve">.2</w:t>
      </w:r>
      <w:r>
        <w:t xml:space="preserve"> настоящего документа.</w:t>
      </w:r>
      <w:r/>
    </w:p>
    <w:p>
      <w:pPr>
        <w:pStyle w:val="1164"/>
        <w:ind w:firstLine="709"/>
        <w:spacing w:after="0" w:line="360" w:lineRule="auto"/>
        <w:outlineLvl w:val="9"/>
      </w:pPr>
      <w:r>
        <w:t xml:space="preserve">Необходимо указать:</w:t>
      </w:r>
      <w:r/>
    </w:p>
    <w:p>
      <w:pPr>
        <w:pStyle w:val="1164"/>
        <w:numPr>
          <w:ilvl w:val="0"/>
          <w:numId w:val="14"/>
        </w:numPr>
        <w:spacing w:before="0" w:after="0" w:line="360" w:lineRule="auto"/>
        <w:outlineLvl w:val="9"/>
      </w:pPr>
      <w:r>
        <w:t xml:space="preserve">данные</w:t>
      </w:r>
      <w:r>
        <w:t xml:space="preserve">, относящиеся к конкретной</w:t>
      </w:r>
      <w:r>
        <w:t xml:space="preserve"> категории;</w:t>
      </w:r>
      <w:r/>
    </w:p>
    <w:p>
      <w:pPr>
        <w:pStyle w:val="1164"/>
        <w:numPr>
          <w:ilvl w:val="0"/>
          <w:numId w:val="14"/>
        </w:numPr>
        <w:spacing w:before="0" w:after="0" w:line="360" w:lineRule="auto"/>
        <w:outlineLvl w:val="9"/>
      </w:pPr>
      <w:r>
        <w:t xml:space="preserve">способы ввода,</w:t>
      </w:r>
      <w:r>
        <w:t xml:space="preserve"> прием</w:t>
      </w:r>
      <w:r>
        <w:t xml:space="preserve">а, формирования</w:t>
      </w:r>
      <w:r>
        <w:t xml:space="preserve">, преобразования, хранения</w:t>
      </w:r>
      <w:r>
        <w:t xml:space="preserve"> </w:t>
      </w:r>
      <w:r>
        <w:rPr>
          <w:bCs/>
          <w:color w:val="000000"/>
          <w:sz w:val="28"/>
          <w:szCs w:val="20"/>
        </w:rPr>
        <w:t xml:space="preserve">предоставления(распространения)</w:t>
      </w:r>
      <w:r>
        <w:t xml:space="preserve"> </w:t>
      </w:r>
      <w:r>
        <w:t xml:space="preserve">и </w:t>
      </w:r>
      <w:r>
        <w:t xml:space="preserve">обмен</w:t>
      </w:r>
      <w:r>
        <w:t xml:space="preserve">а</w:t>
      </w:r>
      <w:r>
        <w:t xml:space="preserve"> </w:t>
      </w:r>
      <w:r>
        <w:t xml:space="preserve">данными.</w:t>
      </w:r>
      <w:r/>
    </w:p>
    <w:p>
      <w:pPr>
        <w:pStyle w:val="1164"/>
        <w:ind w:firstLine="709"/>
        <w:spacing w:before="0" w:after="0" w:line="360" w:lineRule="auto"/>
        <w:outlineLvl w:val="9"/>
      </w:pPr>
      <w:r>
        <w:t xml:space="preserve">Также необходимо предоставить схему потоков данных для каждой категории, с указанием </w:t>
      </w:r>
      <w:r>
        <w:t xml:space="preserve">каждого источника и каждого приемника данных (в т.ч. баз и хранилищ данных).</w:t>
      </w:r>
      <w:r/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b/>
          <w:bCs/>
          <w:iCs/>
          <w:sz w:val="28"/>
          <w:szCs w:val="28"/>
          <w14:ligatures w14:val="none"/>
        </w:rPr>
        <w:outlineLvl w:val="1"/>
      </w:pPr>
      <w:r/>
      <w:bookmarkStart w:id="147" w:name="_Toc24"/>
      <w:r>
        <w:rPr>
          <w:rFonts w:ascii="Arial" w:hAnsi="Arial"/>
          <w:sz w:val="28"/>
          <w:szCs w:val="28"/>
        </w:rPr>
        <w:t xml:space="preserve">СХЕМЫ ИНФОРМАЦИОННЫХ ПОТОКОВ</w:t>
      </w:r>
      <w:bookmarkEnd w:id="147"/>
      <w:r>
        <w:rPr>
          <w:rFonts w:ascii="Arial" w:hAnsi="Arial"/>
          <w:b/>
          <w:bCs/>
          <w:iCs/>
          <w:sz w:val="28"/>
          <w:szCs w:val="28"/>
          <w14:ligatures w14:val="none"/>
        </w:rPr>
      </w:r>
      <w:r>
        <w:rPr>
          <w:rFonts w:ascii="Arial" w:hAnsi="Arial"/>
          <w:b/>
          <w:bCs/>
          <w:iCs/>
          <w:sz w:val="28"/>
          <w:szCs w:val="28"/>
          <w14:ligatures w14:val="none"/>
        </w:rPr>
      </w:r>
    </w:p>
    <w:p>
      <w:pPr>
        <w:ind w:firstLine="708"/>
        <w:jc w:val="both"/>
        <w:spacing w:line="36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Необходимо отразить схему информационных </w:t>
      </w:r>
      <w:r>
        <w:rPr>
          <w:rFonts w:ascii="Times New Roman" w:hAnsi="Times New Roman" w:cs="Times New Roman"/>
          <w:sz w:val="28"/>
          <w:szCs w:val="28"/>
        </w:rPr>
        <w:t xml:space="preserve">потков</w:t>
      </w:r>
      <w:r>
        <w:rPr>
          <w:rFonts w:ascii="Times New Roman" w:hAnsi="Times New Roman" w:cs="Times New Roman"/>
          <w:sz w:val="28"/>
          <w:szCs w:val="28"/>
        </w:rPr>
        <w:t xml:space="preserve"> для каждой категории, с указанием каждого источника и каждого приемника данных (в т.ч. баз и хранилищ данных). Данная схема изображается в произвольно</w:t>
      </w:r>
      <w:r>
        <w:rPr>
          <w:rFonts w:ascii="Times New Roman" w:hAnsi="Times New Roman" w:cs="Times New Roman"/>
          <w:sz w:val="28"/>
          <w:szCs w:val="28"/>
        </w:rPr>
        <w:t xml:space="preserve">м виде и отражает информацию из таблицы информационных потоков. На схеме обязательно отображаются структурные модули-получатели информации, структурные модули-источники информации, направления п</w:t>
      </w:r>
      <w:r>
        <w:rPr>
          <w:rFonts w:ascii="Times New Roman" w:hAnsi="Times New Roman" w:cs="Times New Roman"/>
          <w:sz w:val="28"/>
          <w:szCs w:val="28"/>
        </w:rPr>
        <w:t xml:space="preserve">отоков, механизмы обмена и обозначения информационных потоков.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48" w:name="_Toc25"/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ОЦЕНКА ОБЪЕМОВ ХРАНИМЫХ ДАННЫХ И ИНФОРМАЦИОННОГО ОБМЕНА</w:t>
      </w:r>
      <w:bookmarkEnd w:id="148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4"/>
        <w:ind w:firstLine="709"/>
        <w:spacing w:after="0" w:line="360" w:lineRule="auto"/>
        <w:outlineLvl w:val="9"/>
      </w:pPr>
      <w:r>
        <w:t xml:space="preserve">В данном разделе необходимо предоставить оценку объемов хранимых данных и оценку</w:t>
      </w:r>
      <w:r>
        <w:t xml:space="preserve"> объемов информационного обмена</w:t>
      </w:r>
      <w:r>
        <w:t xml:space="preserve">. Данные оценки рассчитываются</w:t>
      </w:r>
      <w:r>
        <w:t xml:space="preserve"> на основ</w:t>
      </w:r>
      <w:r>
        <w:t xml:space="preserve">е показателей назначения ИС</w:t>
      </w:r>
      <w:r>
        <w:t xml:space="preserve">, приведенных в </w:t>
      </w:r>
      <w:r>
        <w:t xml:space="preserve">Разделе 4.7 документа «Техническое задание»</w:t>
      </w:r>
      <w:r>
        <w:t xml:space="preserve">,</w:t>
      </w:r>
      <w:r>
        <w:t xml:space="preserve"> функциональных требований, приведенных в Разделе 5 документа «Техническое задание», </w:t>
      </w:r>
      <w:r>
        <w:t xml:space="preserve">данных в </w:t>
      </w:r>
      <w:r>
        <w:t xml:space="preserve">пункт</w:t>
      </w:r>
      <w:r>
        <w:t xml:space="preserve">ах</w:t>
      </w:r>
      <w:r>
        <w:t xml:space="preserve"> </w:t>
      </w:r>
      <w:r>
        <w:t xml:space="preserve">4.3 и 4.4 настоящего документа</w:t>
      </w:r>
      <w:r>
        <w:t xml:space="preserve"> и экспертных оценок. </w:t>
      </w:r>
      <w:r>
        <w:t xml:space="preserve">Данные оценки </w:t>
      </w:r>
      <w:r>
        <w:t xml:space="preserve">долж</w:t>
      </w:r>
      <w:r>
        <w:t xml:space="preserve">ны</w:t>
      </w:r>
      <w:r>
        <w:t xml:space="preserve"> быть уточнен</w:t>
      </w:r>
      <w:r>
        <w:t xml:space="preserve">ы на стадии проектирования и разработки</w:t>
      </w:r>
      <w:r>
        <w:t xml:space="preserve"> </w:t>
      </w:r>
      <w:r>
        <w:t xml:space="preserve">ИС</w:t>
      </w:r>
      <w:r>
        <w:t xml:space="preserve">, а при необходимости </w:t>
      </w:r>
      <w:r>
        <w:t xml:space="preserve"> </w:t>
      </w:r>
      <w:r>
        <w:t xml:space="preserve">–</w:t>
      </w:r>
      <w:r>
        <w:t xml:space="preserve"> </w:t>
      </w:r>
      <w:r>
        <w:t xml:space="preserve"> </w:t>
      </w:r>
      <w:r>
        <w:t xml:space="preserve">и </w:t>
      </w:r>
      <w:r>
        <w:t xml:space="preserve">по </w:t>
      </w:r>
      <w:r>
        <w:t xml:space="preserve">результатам </w:t>
      </w:r>
      <w:r>
        <w:t xml:space="preserve">их </w:t>
      </w:r>
      <w:r>
        <w:t xml:space="preserve">опытной эксплуатации.</w:t>
      </w:r>
      <w:r/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49" w:name="_Toc26"/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БАЗЫ И ХРАНИЛИЩА ДАННЫХ</w:t>
      </w:r>
      <w:bookmarkEnd w:id="149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4"/>
        <w:ind w:firstLine="709"/>
        <w:spacing w:after="0" w:line="360" w:lineRule="auto"/>
        <w:outlineLvl w:val="9"/>
      </w:pPr>
      <w:r>
        <w:t xml:space="preserve">В данном разделе необходимо предоставить о</w:t>
      </w:r>
      <w:r>
        <w:t xml:space="preserve">писание типовых программных платформ </w:t>
      </w:r>
      <w:r>
        <w:t xml:space="preserve">БД</w:t>
      </w:r>
      <w:r>
        <w:t xml:space="preserve"> и хранилищ, используемых в </w:t>
      </w:r>
      <w:r>
        <w:t xml:space="preserve">ИС</w:t>
      </w:r>
      <w:r>
        <w:t xml:space="preserve">, с привязкой к категории.</w:t>
      </w:r>
      <w:r/>
    </w:p>
    <w:p>
      <w:pPr>
        <w:pStyle w:val="1258"/>
        <w:numPr>
          <w:ilvl w:val="0"/>
          <w:numId w:val="16"/>
        </w:numPr>
        <w:ind w:left="0" w:firstLine="0"/>
        <w:keepNext/>
        <w:pageBreakBefore w:val="0"/>
        <w:spacing w:before="360" w:after="120"/>
        <w:rPr>
          <w:rFonts w:ascii="Arial" w:hAnsi="Arial"/>
        </w:rPr>
      </w:pPr>
      <w:r/>
      <w:bookmarkStart w:id="150" w:name="_Toc27"/>
      <w:r>
        <w:rPr>
          <w:rFonts w:ascii="Arial" w:hAnsi="Arial"/>
        </w:rPr>
        <w:t xml:space="preserve">ТЕХНИЧЕСКАЯ АРХИТЕКТУРА</w:t>
      </w:r>
      <w:bookmarkEnd w:id="150"/>
      <w:r>
        <w:rPr>
          <w:rFonts w:ascii="Arial" w:hAnsi="Arial"/>
        </w:rPr>
      </w:r>
      <w:r>
        <w:rPr>
          <w:rFonts w:ascii="Arial" w:hAnsi="Arial"/>
        </w:rPr>
      </w:r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51" w:name="_Toc28"/>
      <w:r>
        <w:rPr>
          <w:rFonts w:ascii="Arial" w:hAnsi="Arial"/>
          <w:sz w:val="28"/>
        </w:rPr>
        <w:t xml:space="preserve">ТРЕБОВАНИЯ К ТЕХНИЧЕСКОМУ ОБЕСПЕЧЕНИЮ</w:t>
      </w:r>
      <w:bookmarkEnd w:id="151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ind w:firstLine="709"/>
        <w:jc w:val="both"/>
        <w:spacing w:after="0" w:line="360" w:lineRule="auto"/>
        <w:rPr>
          <w:rFonts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 к техническому обеспечению представлены в Разделе 6.5 документа «Техническое задание».</w:t>
      </w:r>
      <w:r>
        <w:rPr>
          <w:rFonts w:cs="Times New Roman"/>
          <w:sz w:val="28"/>
        </w:rPr>
      </w:r>
      <w:r>
        <w:rPr>
          <w:rFonts w:cs="Times New Roman"/>
          <w:sz w:val="28"/>
        </w:rPr>
      </w:r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52" w:name="_Toc29"/>
      <w:r>
        <w:rPr>
          <w:rFonts w:ascii="Arial" w:hAnsi="Arial"/>
          <w:sz w:val="28"/>
        </w:rPr>
        <w:t xml:space="preserve">ОПИСАНИЕ ТЕХНИЧЕСКОГО ОБЕСПЕЧЕНИЯ</w:t>
      </w:r>
      <w:bookmarkEnd w:id="152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164"/>
        <w:ind w:firstLine="709"/>
        <w:spacing w:after="0" w:line="360" w:lineRule="auto"/>
        <w:outlineLvl w:val="9"/>
      </w:pPr>
      <w:r>
        <w:t xml:space="preserve">В данном разделе необходимо описать и предоставить схемы</w:t>
      </w:r>
      <w:r>
        <w:t xml:space="preserve">: </w:t>
      </w:r>
      <w:r/>
    </w:p>
    <w:p>
      <w:pPr>
        <w:pStyle w:val="1164"/>
        <w:numPr>
          <w:ilvl w:val="0"/>
          <w:numId w:val="21"/>
        </w:numPr>
        <w:spacing w:after="0" w:line="360" w:lineRule="auto"/>
        <w:outlineLvl w:val="9"/>
      </w:pPr>
      <w:r>
        <w:t xml:space="preserve">вычислительн</w:t>
      </w:r>
      <w:r>
        <w:t xml:space="preserve">ой</w:t>
      </w:r>
      <w:r>
        <w:t xml:space="preserve"> инфраструктур</w:t>
      </w:r>
      <w:r>
        <w:t xml:space="preserve">ы</w:t>
      </w:r>
      <w:r>
        <w:t xml:space="preserve"> (в том числе серверы)</w:t>
      </w:r>
      <w:r>
        <w:t xml:space="preserve">;</w:t>
      </w:r>
      <w:r/>
    </w:p>
    <w:p>
      <w:pPr>
        <w:pStyle w:val="1164"/>
        <w:numPr>
          <w:ilvl w:val="0"/>
          <w:numId w:val="21"/>
        </w:numPr>
        <w:spacing w:after="0" w:line="360" w:lineRule="auto"/>
        <w:outlineLvl w:val="9"/>
      </w:pPr>
      <w:r>
        <w:t xml:space="preserve">инфраструктур</w:t>
      </w:r>
      <w:r>
        <w:t xml:space="preserve">ы</w:t>
      </w:r>
      <w:r>
        <w:t xml:space="preserve"> хранения данных</w:t>
      </w:r>
      <w:r>
        <w:t xml:space="preserve">;</w:t>
      </w:r>
      <w:r/>
    </w:p>
    <w:p>
      <w:pPr>
        <w:pStyle w:val="1164"/>
        <w:numPr>
          <w:ilvl w:val="0"/>
          <w:numId w:val="21"/>
        </w:numPr>
        <w:spacing w:after="0" w:line="360" w:lineRule="auto"/>
        <w:outlineLvl w:val="9"/>
      </w:pPr>
      <w:r>
        <w:t xml:space="preserve">сетев</w:t>
      </w:r>
      <w:r>
        <w:t xml:space="preserve">ой</w:t>
      </w:r>
      <w:r>
        <w:t xml:space="preserve"> инфраструктур</w:t>
      </w:r>
      <w:r>
        <w:t xml:space="preserve">ы.</w:t>
      </w:r>
      <w:r/>
    </w:p>
    <w:p>
      <w:pPr>
        <w:pStyle w:val="1164"/>
        <w:numPr>
          <w:ilvl w:val="0"/>
          <w:numId w:val="21"/>
        </w:numPr>
        <w:spacing w:after="0" w:line="360" w:lineRule="auto"/>
        <w:outlineLvl w:val="9"/>
      </w:pPr>
      <w:r>
        <w:t xml:space="preserve">при необходимости </w:t>
      </w:r>
      <w:r>
        <w:t xml:space="preserve">–</w:t>
      </w:r>
      <w:r>
        <w:t xml:space="preserve"> прочей </w:t>
      </w:r>
      <w:r>
        <w:t xml:space="preserve">инфраструктур</w:t>
      </w:r>
      <w:r>
        <w:t xml:space="preserve">ы (</w:t>
      </w:r>
      <w:r>
        <w:t xml:space="preserve">например,</w:t>
      </w:r>
      <w:r>
        <w:t xml:space="preserve"> </w:t>
      </w:r>
      <w:r>
        <w:t xml:space="preserve">мониторинга и управления, электроснабжения, виртуализации).</w:t>
      </w:r>
      <w:r/>
    </w:p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708"/>
        <w:jc w:val="both"/>
        <w:spacing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Так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ой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же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подход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может быть применен к так называемым конвергентным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или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гиперконвергентным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инфраструктурам. Конвергентная инфр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аструктура —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это объединенные на общей платформе (как правило, 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одном корпусе) вычислительные устройства, СХД, сетевые устройства и средства виртуализации серверов, то есть основные элементы ЦОД. Объединение этих компонентов проходит и на програм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ом уровне, через инструменты управления, виртуализации и защиты данных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  <w14:ligatures w14:val="none"/>
        </w:rPr>
      </w:r>
    </w:p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53" w:name="_Toc30"/>
      <w:r>
        <w:rPr>
          <w:rFonts w:ascii="Arial" w:hAnsi="Arial"/>
          <w:sz w:val="28"/>
        </w:rPr>
        <w:t xml:space="preserve">ТРЕБОВАНИЯ К ПРОГРАММНОМУ ОБЕСП</w:t>
      </w:r>
      <w:r>
        <w:rPr>
          <w:rFonts w:ascii="Arial" w:hAnsi="Arial"/>
          <w:sz w:val="28"/>
        </w:rPr>
        <w:t xml:space="preserve">Е</w:t>
      </w:r>
      <w:r>
        <w:rPr>
          <w:rFonts w:ascii="Arial" w:hAnsi="Arial"/>
          <w:sz w:val="28"/>
        </w:rPr>
        <w:t xml:space="preserve">ЧЕНИЮ</w:t>
      </w:r>
      <w:bookmarkEnd w:id="153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Требования к </w:t>
      </w:r>
      <w:r>
        <w:rPr>
          <w:rFonts w:ascii="Times New Roman" w:hAnsi="Times New Roman" w:cs="Times New Roman"/>
          <w:sz w:val="28"/>
        </w:rPr>
        <w:t xml:space="preserve">программному</w:t>
      </w:r>
      <w:r>
        <w:rPr>
          <w:rFonts w:ascii="Times New Roman" w:hAnsi="Times New Roman" w:cs="Times New Roman"/>
          <w:sz w:val="28"/>
        </w:rPr>
        <w:t xml:space="preserve"> обеспе</w:t>
      </w:r>
      <w:r>
        <w:rPr>
          <w:rFonts w:ascii="Times New Roman" w:hAnsi="Times New Roman" w:cs="Times New Roman"/>
          <w:sz w:val="28"/>
        </w:rPr>
        <w:t xml:space="preserve">чению представлены в Разделе 6.4</w:t>
      </w:r>
      <w:r>
        <w:rPr>
          <w:rFonts w:ascii="Times New Roman" w:hAnsi="Times New Roman" w:cs="Times New Roman"/>
          <w:sz w:val="28"/>
        </w:rPr>
        <w:t xml:space="preserve"> документа «Техническое задание».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54" w:name="_Toc31"/>
      <w:r>
        <w:rPr>
          <w:rFonts w:ascii="Arial" w:hAnsi="Arial"/>
          <w:sz w:val="28"/>
        </w:rPr>
        <w:t xml:space="preserve">ОПИСАНИЕ ПРОГРАММНОГО ОБЕСПЕЧЕНИЯ</w:t>
      </w:r>
      <w:bookmarkEnd w:id="154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приводят структурированное описание программного обеспечения в </w:t>
      </w:r>
      <w:r>
        <w:rPr>
          <w:rFonts w:ascii="Times New Roman" w:hAnsi="Times New Roman" w:cs="Times New Roman"/>
          <w:sz w:val="28"/>
          <w:szCs w:val="28"/>
        </w:rPr>
        <w:t xml:space="preserve">архитектурном разрезе, необходимого и достаточного для функционирования и администрирования ИС. Например, </w:t>
      </w:r>
      <w:r>
        <w:rPr>
          <w:rFonts w:ascii="Times New Roman" w:hAnsi="Times New Roman" w:cs="Times New Roman"/>
          <w:sz w:val="28"/>
          <w:szCs w:val="28"/>
        </w:rPr>
        <w:t xml:space="preserve">для многоуровневой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- в разрезе слоев, для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сервисной или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микросервисной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рхитектуры – в разрезе </w:t>
      </w:r>
      <w:r>
        <w:rPr>
          <w:rFonts w:ascii="Times New Roman" w:hAnsi="Times New Roman" w:cs="Times New Roman"/>
          <w:sz w:val="28"/>
          <w:szCs w:val="28"/>
        </w:rPr>
        <w:t xml:space="preserve">сервисов.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255"/>
        <w:numPr>
          <w:ilvl w:val="1"/>
          <w:numId w:val="16"/>
        </w:numPr>
        <w:ind w:left="0" w:firstLine="0"/>
        <w:keepNext/>
        <w:spacing w:before="360" w:after="120"/>
        <w:rPr>
          <w:rFonts w:ascii="Arial" w:hAnsi="Arial"/>
          <w:sz w:val="28"/>
        </w:rPr>
      </w:pPr>
      <w:r/>
      <w:bookmarkStart w:id="155" w:name="_Toc32"/>
      <w:r>
        <w:rPr>
          <w:rFonts w:ascii="Arial" w:hAnsi="Arial"/>
          <w:sz w:val="28"/>
        </w:rPr>
        <w:t xml:space="preserve">ОБЕСПЕЧЕНИЕ КАТАСТРОФОУСТОЙЧИВОСТИ ИС</w:t>
      </w:r>
      <w:bookmarkEnd w:id="155"/>
      <w:r>
        <w:rPr>
          <w:rFonts w:ascii="Arial" w:hAnsi="Arial"/>
          <w:sz w:val="28"/>
        </w:rPr>
      </w:r>
      <w:r>
        <w:rPr>
          <w:rFonts w:ascii="Arial" w:hAnsi="Arial"/>
          <w:sz w:val="28"/>
        </w:rPr>
      </w:r>
    </w:p>
    <w:p>
      <w:pPr>
        <w:pStyle w:val="1255"/>
        <w:numPr>
          <w:ilvl w:val="2"/>
          <w:numId w:val="16"/>
        </w:numPr>
        <w:keepNext/>
        <w:spacing w:before="360" w:after="120"/>
        <w:rPr>
          <w:rFonts w:ascii="Arial" w:hAnsi="Arial"/>
        </w:rPr>
      </w:pPr>
      <w:r/>
      <w:bookmarkStart w:id="156" w:name="_Toc33"/>
      <w:r>
        <w:rPr>
          <w:rFonts w:ascii="Arial" w:hAnsi="Arial"/>
          <w:sz w:val="28"/>
        </w:rPr>
        <w:t xml:space="preserve">ТРЕБОВАНИЯ К </w:t>
      </w:r>
      <w:r>
        <w:rPr>
          <w:rFonts w:ascii="Arial" w:hAnsi="Arial"/>
          <w:sz w:val="28"/>
        </w:rPr>
        <w:t xml:space="preserve">ОБЕСПЕЧЕНИЮ К</w:t>
      </w:r>
      <w:r>
        <w:rPr>
          <w:rFonts w:ascii="Arial" w:hAnsi="Arial"/>
          <w:sz w:val="28"/>
        </w:rPr>
        <w:t xml:space="preserve">АТАСТРОФОУСТОЙЧИВОСТИ</w:t>
      </w:r>
      <w:r>
        <w:rPr>
          <w:rFonts w:ascii="Arial" w:hAnsi="Arial"/>
        </w:rPr>
        <w:t xml:space="preserve"> ИС</w:t>
      </w:r>
      <w:bookmarkEnd w:id="156"/>
      <w:r>
        <w:rPr>
          <w:rFonts w:ascii="Arial" w:hAnsi="Arial"/>
        </w:rPr>
      </w:r>
      <w:r>
        <w:rPr>
          <w:rFonts w:ascii="Arial" w:hAnsi="Arial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приводят требования к катастрофоустойчивой системе, показатели </w:t>
      </w:r>
      <w:r>
        <w:rPr>
          <w:rFonts w:ascii="Times New Roman" w:hAnsi="Times New Roman" w:cs="Times New Roman"/>
          <w:sz w:val="28"/>
          <w:szCs w:val="28"/>
        </w:rPr>
        <w:t xml:space="preserve">целевого уровня </w:t>
      </w:r>
      <w:r>
        <w:rPr>
          <w:rFonts w:ascii="Times New Roman" w:hAnsi="Times New Roman" w:cs="Times New Roman"/>
          <w:sz w:val="28"/>
          <w:szCs w:val="28"/>
        </w:rPr>
        <w:t xml:space="preserve">катастрофоустойчивости системы.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</w:t>
      </w:r>
      <w:r>
        <w:rPr>
          <w:rFonts w:ascii="Times New Roman" w:hAnsi="Times New Roman" w:cs="Times New Roman"/>
          <w:sz w:val="28"/>
          <w:szCs w:val="28"/>
        </w:rPr>
        <w:t xml:space="preserve">, время простоя системы в течение года, </w:t>
      </w: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>
        <w:rPr>
          <w:rFonts w:ascii="Times New Roman" w:hAnsi="Times New Roman" w:cs="Times New Roman"/>
          <w:sz w:val="28"/>
          <w:szCs w:val="28"/>
        </w:rPr>
        <w:t xml:space="preserve">доступности отдельных подсистем. Также рекомендуется использовать типовые параметры </w:t>
      </w:r>
      <w:r>
        <w:rPr>
          <w:rFonts w:ascii="Times New Roman" w:hAnsi="Times New Roman" w:cs="Times New Roman"/>
          <w:sz w:val="28"/>
          <w:szCs w:val="28"/>
        </w:rPr>
        <w:t xml:space="preserve">RxO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RTO, RPO, RCO):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164"/>
        <w:numPr>
          <w:ilvl w:val="0"/>
          <w:numId w:val="14"/>
        </w:numPr>
        <w:spacing w:after="0" w:line="360" w:lineRule="auto"/>
        <w:outlineLvl w:val="9"/>
      </w:pPr>
      <w:r>
        <w:t xml:space="preserve">RTO (Recovery time objective) – </w:t>
      </w:r>
      <w:r>
        <w:rPr>
          <w:szCs w:val="28"/>
        </w:rPr>
        <w:t xml:space="preserve">времени восстановления после сбоя</w:t>
      </w:r>
      <w:r>
        <w:t xml:space="preserve">.</w:t>
      </w:r>
      <w:r/>
    </w:p>
    <w:p>
      <w:pPr>
        <w:pStyle w:val="1164"/>
        <w:numPr>
          <w:ilvl w:val="0"/>
          <w:numId w:val="14"/>
        </w:numPr>
        <w:spacing w:after="0" w:line="360" w:lineRule="auto"/>
        <w:rPr>
          <w:lang w:val="en-US"/>
        </w:rPr>
        <w:outlineLvl w:val="9"/>
      </w:pPr>
      <w:r>
        <w:rPr>
          <w:lang w:val="en-US"/>
        </w:rPr>
        <w:t xml:space="preserve">RPO (Recovery point objective) –</w:t>
      </w:r>
      <w:r>
        <w:rPr>
          <w:lang w:val="en-US"/>
        </w:rPr>
        <w:t xml:space="preserve"> </w:t>
      </w:r>
      <w:r>
        <w:rPr>
          <w:szCs w:val="28"/>
        </w:rPr>
        <w:t xml:space="preserve">интервал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потери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данных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1164"/>
        <w:numPr>
          <w:ilvl w:val="0"/>
          <w:numId w:val="14"/>
        </w:numPr>
        <w:spacing w:after="0" w:line="360" w:lineRule="auto"/>
        <w:outlineLvl w:val="9"/>
      </w:pPr>
      <w:r>
        <w:t xml:space="preserve">RCO (Recovery capacity objective) –</w:t>
      </w:r>
      <w:r>
        <w:t xml:space="preserve"> доля</w:t>
      </w:r>
      <w:r>
        <w:t xml:space="preserve"> </w:t>
      </w:r>
      <w:r>
        <w:t xml:space="preserve">рабочей</w:t>
      </w:r>
      <w:r>
        <w:t xml:space="preserve"> нагрузки</w:t>
      </w:r>
      <w:r>
        <w:t xml:space="preserve">, которую</w:t>
      </w:r>
      <w:r>
        <w:t xml:space="preserve"> должна обеспечивать резервная система</w:t>
      </w:r>
      <w:r>
        <w:t xml:space="preserve"> </w:t>
      </w:r>
      <w:r>
        <w:rPr>
          <w:szCs w:val="28"/>
        </w:rPr>
        <w:t xml:space="preserve">при аварийной ситуации</w:t>
      </w:r>
      <w:r>
        <w:t xml:space="preserve">. Этот показатель может измеряться в процентах, транзакциях ИТ-систем и прочих величинах.</w:t>
      </w:r>
      <w:r/>
    </w:p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1255"/>
        <w:numPr>
          <w:ilvl w:val="2"/>
          <w:numId w:val="16"/>
        </w:numPr>
        <w:keepNext/>
        <w:spacing w:before="360" w:after="120"/>
        <w:rPr>
          <w:rFonts w:ascii="Arial" w:hAnsi="Arial"/>
        </w:rPr>
      </w:pPr>
      <w:r/>
      <w:bookmarkStart w:id="157" w:name="_Toc34"/>
      <w:r>
        <w:rPr>
          <w:rFonts w:ascii="Arial" w:hAnsi="Arial"/>
          <w:sz w:val="28"/>
        </w:rPr>
        <w:t xml:space="preserve">РЕШЕНИЕ ПО ОБЕСПЕЧЕНИЮ КАТАСТРОФОУСТОЙЧИВОСТИ ИС</w:t>
      </w:r>
      <w:bookmarkEnd w:id="157"/>
      <w:r>
        <w:rPr>
          <w:rFonts w:ascii="Arial" w:hAnsi="Arial"/>
        </w:rPr>
      </w:r>
      <w:r>
        <w:rPr>
          <w:rFonts w:ascii="Arial" w:hAnsi="Arial"/>
        </w:rPr>
      </w:r>
    </w:p>
    <w:p>
      <w:pPr>
        <w:ind w:firstLine="709"/>
        <w:jc w:val="both"/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приводят обоснование и описание решения по обеспечению катастрофоустойчивого функционирования ИС. Обоснование должно и</w:t>
      </w:r>
      <w:r>
        <w:rPr>
          <w:rFonts w:ascii="Times New Roman" w:hAnsi="Times New Roman" w:cs="Times New Roman"/>
          <w:sz w:val="28"/>
          <w:szCs w:val="28"/>
        </w:rPr>
        <w:t xml:space="preserve">сходить из необходимости обеспечения заданных в ЧТЗ требований к ИС, включая достижение заданных показателей назначения ИС, приведенных в пункте 2.4 настоящего документа, и учитывая требования к обеспечению катастрофоустойчивости ИС, приведенными в пункте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REF _Ref527482396 \n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5.4.1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документа</w:t>
      </w:r>
      <w:r>
        <w:rPr>
          <w:rStyle w:val="1193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решения</w:t>
      </w:r>
      <w:r>
        <w:rPr>
          <w:rFonts w:ascii="Times New Roman" w:hAnsi="Times New Roman" w:cs="Times New Roman"/>
          <w:sz w:val="28"/>
          <w:szCs w:val="28"/>
        </w:rPr>
        <w:t xml:space="preserve"> также </w:t>
      </w:r>
      <w:r>
        <w:rPr>
          <w:rFonts w:ascii="Times New Roman" w:hAnsi="Times New Roman" w:cs="Times New Roman"/>
          <w:sz w:val="28"/>
          <w:szCs w:val="28"/>
        </w:rPr>
        <w:t xml:space="preserve">должно включать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236"/>
        <w:numPr>
          <w:ilvl w:val="0"/>
          <w:numId w:val="14"/>
        </w:numPr>
        <w:spacing w:before="120" w:after="120" w:line="360" w:lineRule="auto"/>
        <w:rPr>
          <w:szCs w:val="28"/>
        </w:rPr>
      </w:pPr>
      <w:r>
        <w:t xml:space="preserve">условия, назначение и порядок создания катастрофоустойчивого решения для ИС</w:t>
      </w:r>
      <w: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1236"/>
        <w:numPr>
          <w:ilvl w:val="0"/>
          <w:numId w:val="14"/>
        </w:numPr>
        <w:spacing w:before="120" w:after="120" w:line="360" w:lineRule="auto"/>
        <w:rPr>
          <w:szCs w:val="28"/>
        </w:rPr>
      </w:pPr>
      <w:r>
        <w:t xml:space="preserve">описание системного, базисного и </w:t>
      </w:r>
      <w:r>
        <w:t xml:space="preserve">прикладного программного обеспечения,</w:t>
      </w:r>
      <w:r>
        <w:t xml:space="preserve"> используемого для обеспечения катастрофоустойчивости</w:t>
      </w:r>
      <w: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1236"/>
        <w:numPr>
          <w:ilvl w:val="0"/>
          <w:numId w:val="14"/>
        </w:numPr>
        <w:spacing w:before="120" w:after="120" w:line="360" w:lineRule="auto"/>
        <w:rPr>
          <w:szCs w:val="28"/>
        </w:rPr>
      </w:pPr>
      <w:r>
        <w:rPr>
          <w:szCs w:val="28"/>
        </w:rPr>
        <w:t xml:space="preserve">решения по размещению ПО ИС на элементах КТС</w:t>
      </w:r>
      <w:r>
        <w:rPr>
          <w:szCs w:val="28"/>
        </w:rPr>
        <w:t xml:space="preserve"> </w:t>
      </w:r>
      <w:r>
        <w:rPr>
          <w:szCs w:val="28"/>
        </w:rPr>
        <w:t xml:space="preserve">представлены в Разде</w:t>
      </w:r>
      <w:r>
        <w:rPr>
          <w:szCs w:val="28"/>
        </w:rPr>
        <w:t xml:space="preserve">ле 2</w:t>
      </w:r>
      <w:r>
        <w:rPr>
          <w:szCs w:val="28"/>
        </w:rPr>
        <w:t xml:space="preserve"> документа</w:t>
      </w:r>
      <w:r>
        <w:rPr>
          <w:szCs w:val="28"/>
        </w:rPr>
        <w:t xml:space="preserve"> «</w:t>
      </w:r>
      <w:r>
        <w:rPr>
          <w:szCs w:val="28"/>
        </w:rPr>
        <w:t xml:space="preserve">Описание комплекса технических средств</w:t>
      </w:r>
      <w:r>
        <w:rPr>
          <w:szCs w:val="28"/>
        </w:rPr>
        <w:t xml:space="preserve">»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1236"/>
        <w:numPr>
          <w:ilvl w:val="0"/>
          <w:numId w:val="14"/>
        </w:numPr>
        <w:spacing w:before="120" w:after="120" w:line="360" w:lineRule="auto"/>
        <w:tabs>
          <w:tab w:val="clear" w:pos="1276" w:leader="none"/>
        </w:tabs>
        <w:rPr>
          <w14:ligatures w14:val="none"/>
        </w:rPr>
      </w:pPr>
      <w:r>
        <w:rPr>
          <w:szCs w:val="28"/>
        </w:rPr>
        <w:t xml:space="preserve">решения по поддержанию работоспособности системы в случае различающихся версий ПО или сервисов на разных площадках ЦОД, включая особенности </w:t>
      </w:r>
      <w:r>
        <w:rPr>
          <w:szCs w:val="28"/>
        </w:rPr>
        <w:t xml:space="preserve">обновления/синхронизации версий ПО или </w:t>
      </w:r>
      <w:r>
        <w:t xml:space="preserve">сервисов</w:t>
      </w:r>
      <w:r>
        <w:t xml:space="preserve">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236"/>
        <w:numPr>
          <w:ilvl w:val="0"/>
          <w:numId w:val="14"/>
        </w:numPr>
        <w:spacing w:before="120" w:after="120" w:line="360" w:lineRule="auto"/>
        <w:tabs>
          <w:tab w:val="clear" w:pos="1276" w:leader="none"/>
        </w:tabs>
        <w:rPr>
          <w:sz w:val="28"/>
          <w:szCs w:val="28"/>
          <w14:ligatures w14:val="none"/>
        </w:rPr>
      </w:pPr>
      <w:r>
        <w:t xml:space="preserve">описание</w:t>
      </w:r>
      <w:r>
        <w:rPr>
          <w:lang w:val="en-US"/>
        </w:rPr>
        <w:t xml:space="preserve"> </w:t>
      </w:r>
      <w:r>
        <w:t xml:space="preserve">схемы</w:t>
      </w:r>
      <w:r>
        <w:rPr>
          <w:lang w:val="en-US"/>
        </w:rPr>
        <w:t xml:space="preserve"> </w:t>
      </w:r>
      <w:r>
        <w:t xml:space="preserve">резервирования</w:t>
      </w:r>
      <w:r>
        <w:rPr>
          <w:lang w:val="en-US"/>
        </w:rPr>
        <w:t xml:space="preserve"> (active-passive </w:t>
      </w:r>
      <w:r>
        <w:t xml:space="preserve">или</w:t>
      </w:r>
      <w:r>
        <w:rPr>
          <w:lang w:val="en-US"/>
        </w:rPr>
        <w:t xml:space="preserve"> active-active)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1236"/>
        <w:numPr>
          <w:ilvl w:val="0"/>
          <w:numId w:val="14"/>
        </w:numPr>
        <w:spacing w:before="120" w:after="120" w:line="360" w:lineRule="auto"/>
        <w:tabs>
          <w:tab w:val="clear" w:pos="1276" w:leader="none"/>
        </w:tabs>
        <w:rPr>
          <w:sz w:val="28"/>
          <w:szCs w:val="28"/>
          <w14:ligatures w14:val="none"/>
        </w:rPr>
      </w:pPr>
      <w:r>
        <w:t xml:space="preserve">методики переключения активного ЦОД с основного на резервный и возврата с резервного на основной (в случае схемы резервирования </w:t>
      </w:r>
      <w:r>
        <w:rPr>
          <w:lang w:val="en-US"/>
        </w:rPr>
        <w:t xml:space="preserve">active</w:t>
      </w:r>
      <w:r>
        <w:t xml:space="preserve">-</w:t>
      </w:r>
      <w:r>
        <w:rPr>
          <w:lang w:val="en-US"/>
        </w:rPr>
        <w:t xml:space="preserve">passive</w:t>
      </w:r>
      <w:r>
        <w:t xml:space="preserve">).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1276" w:firstLine="0"/>
        <w:spacing w:before="120" w:after="120" w:line="360" w:lineRule="auto"/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p>
      <w:pPr>
        <w:numPr>
          <w:ilvl w:val="1"/>
          <w:numId w:val="16"/>
        </w:numPr>
        <w:ind w:left="0" w:firstLine="0"/>
        <w:keepNext/>
        <w:spacing w:before="360" w:after="120" w:line="240" w:lineRule="auto"/>
        <w:rPr>
          <w:rFonts w:ascii="Arial" w:hAnsi="Arial" w:cs="Arial"/>
          <w:b/>
          <w:bCs/>
          <w:iCs/>
          <w:sz w:val="28"/>
          <w:szCs w:val="28"/>
        </w:rPr>
        <w:outlineLvl w:val="1"/>
      </w:pPr>
      <w:r/>
      <w:bookmarkStart w:id="158" w:name="_Toc35"/>
      <w:r>
        <w:rPr>
          <w:rFonts w:ascii="Arial" w:hAnsi="Arial" w:eastAsia="Arial" w:cs="Arial"/>
          <w:b/>
          <w:bCs/>
          <w:iCs/>
          <w:sz w:val="28"/>
          <w:szCs w:val="28"/>
        </w:rPr>
        <w:t xml:space="preserve">ОБЕСПЕЧЕНИЕ ОТКАЗОУСТОЙЧИВОСТИ ИС</w:t>
      </w:r>
      <w:bookmarkEnd w:id="158"/>
      <w:r>
        <w:rPr>
          <w:rFonts w:ascii="Arial" w:hAnsi="Arial" w:cs="Arial"/>
          <w:b/>
          <w:bCs/>
          <w:iCs/>
          <w:sz w:val="28"/>
          <w:szCs w:val="28"/>
        </w:rPr>
      </w:r>
      <w:r>
        <w:rPr>
          <w:rFonts w:ascii="Arial" w:hAnsi="Arial" w:cs="Arial"/>
          <w:b/>
          <w:bCs/>
          <w:iCs/>
          <w:sz w:val="28"/>
          <w:szCs w:val="28"/>
        </w:rPr>
      </w:r>
    </w:p>
    <w:p>
      <w:pPr>
        <w:numPr>
          <w:ilvl w:val="2"/>
          <w:numId w:val="16"/>
        </w:numPr>
        <w:ind w:left="0" w:firstLine="0"/>
        <w:keepNext/>
        <w:spacing w:before="360" w:after="120" w:line="240" w:lineRule="auto"/>
        <w:rPr>
          <w:sz w:val="28"/>
        </w:rPr>
        <w:outlineLvl w:val="1"/>
      </w:pPr>
      <w:r/>
      <w:bookmarkStart w:id="159" w:name="_Toc36"/>
      <w:r>
        <w:rPr>
          <w:rFonts w:ascii="Arial" w:hAnsi="Arial" w:eastAsia="Arial" w:cs="Arial"/>
          <w:b/>
          <w:bCs/>
          <w:sz w:val="28"/>
          <w:szCs w:val="28"/>
        </w:rPr>
        <w:t xml:space="preserve">ТРЕБОВАНИЯ К ОБЕСПЕЧЕНИЮ ОТКАЗОУСТОЙЧИВОСТИ ИС</w:t>
      </w:r>
      <w:bookmarkEnd w:id="159"/>
      <w:r>
        <w:rPr>
          <w:sz w:val="28"/>
        </w:rPr>
      </w:r>
      <w:r>
        <w:rPr>
          <w:sz w:val="28"/>
        </w:rPr>
      </w:r>
    </w:p>
    <w:p>
      <w:pPr>
        <w:ind w:firstLine="709"/>
        <w:jc w:val="both"/>
        <w:spacing w:before="120" w:line="360" w:lineRule="auto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данном разделе приводят требования к отказоустойчивости системы.</w:t>
      </w:r>
      <w:r>
        <w:rPr>
          <w:rFonts w:ascii="Times New Roman" w:hAnsi="Times New Roman" w:cs="Times New Roman"/>
          <w14:ligatures w14:val="none"/>
        </w:rPr>
      </w:r>
      <w:r>
        <w:rPr>
          <w:rFonts w:ascii="Times New Roman" w:hAnsi="Times New Roman" w:cs="Times New Roman"/>
          <w14:ligatures w14:val="none"/>
        </w:rPr>
      </w:r>
    </w:p>
    <w:p>
      <w:pPr>
        <w:ind w:firstLine="709"/>
        <w:jc w:val="both"/>
        <w:spacing w:before="120" w:line="36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Например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: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Доступность 97%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numPr>
          <w:ilvl w:val="2"/>
          <w:numId w:val="16"/>
        </w:numPr>
        <w:ind w:left="0" w:firstLine="0"/>
        <w:keepNext/>
        <w:spacing w:before="360" w:after="120" w:line="240" w:lineRule="auto"/>
        <w:rPr>
          <w:rFonts w:ascii="Arial" w:hAnsi="Arial" w:cs="Arial"/>
        </w:rPr>
        <w:outlineLvl w:val="1"/>
      </w:pPr>
      <w:r/>
      <w:bookmarkStart w:id="160" w:name="_Toc37"/>
      <w:r>
        <w:rPr>
          <w:rFonts w:ascii="Arial" w:hAnsi="Arial" w:eastAsia="Arial" w:cs="Arial"/>
          <w:b/>
          <w:bCs/>
          <w:sz w:val="28"/>
          <w:szCs w:val="28"/>
        </w:rPr>
        <w:t xml:space="preserve">РЕШЕНИЕ ПО ОБЕСПЕЧЕНИЮ ОТКАЗОУСТОЙЧИВОСТИ ИС</w:t>
      </w:r>
      <w:bookmarkEnd w:id="160"/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данном разделе приводят обоснование и описание решения по обеспечению отказоустойчивости функционирования ИС. Обоснование должн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 исходить из необходимости обеспечения заданных в ЧТЗ требований к ИС, включая достижение заданных показателей назначения ИС, приведенных в Разделе 2.4 настоящего документа, и учитывая требования к обеспечению отказоустойчивости ИС, приведенными в Разделе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Описание решения также должно включать: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236"/>
        <w:numPr>
          <w:ilvl w:val="0"/>
          <w:numId w:val="32"/>
        </w:numPr>
        <w:ind w:left="0" w:firstLine="709"/>
        <w:spacing w:before="120" w:after="120" w:line="360" w:lineRule="auto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решения по обеспечению возможности восстановления работоспособности после возникновения следующих аварийных ситуаций должна включать: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отказ или сбой в работе нескольких связанных компонентов ИТ-инфраструктуры: сервера, оборудования системы хранения данных, оборудования ЛВС;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отказ (сбой) системного или прикладного обеспечения, требующий восстановления ПО и/или перезагрузки серверного оборудования, где установлено данное ПО;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ошибки в работе персонала;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импульсные помехи, сбои или прекращение электропитания.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pStyle w:val="1236"/>
        <w:numPr>
          <w:ilvl w:val="0"/>
          <w:numId w:val="32"/>
        </w:numPr>
        <w:ind w:left="0" w:firstLine="709"/>
        <w:spacing w:before="120" w:after="120" w:line="360" w:lineRule="auto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решения должны исключать потери данных при частичном отказе оборудования;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236"/>
        <w:numPr>
          <w:ilvl w:val="0"/>
          <w:numId w:val="32"/>
        </w:numPr>
        <w:ind w:left="0" w:firstLine="709"/>
        <w:spacing w:before="120" w:after="120" w:line="360" w:lineRule="auto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решения по обеспечению возможности поддержки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кластерноя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конфигурация серверов приложений и баз данных с целью: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­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равномерного распределения нагрузки в штатном режиме работы оборудования;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автоматического перераспределения пользовательских сессий между функционирующими узлами кластера при отказе одного или нескольких узлов без отключения пользовательских сессий.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numPr>
          <w:ilvl w:val="1"/>
          <w:numId w:val="16"/>
        </w:numPr>
        <w:ind w:left="0" w:firstLine="0"/>
        <w:keepNext/>
        <w:spacing w:before="360" w:after="120" w:line="240" w:lineRule="auto"/>
        <w:rPr>
          <w:rFonts w:ascii="Arial" w:hAnsi="Arial" w:cs="Arial"/>
          <w:b/>
          <w:bCs/>
          <w:iCs/>
          <w:sz w:val="28"/>
          <w:szCs w:val="28"/>
        </w:rPr>
        <w:outlineLvl w:val="1"/>
      </w:pPr>
      <w:r/>
      <w:bookmarkStart w:id="161" w:name="_Toc38"/>
      <w:r>
        <w:rPr>
          <w:rFonts w:ascii="Arial" w:hAnsi="Arial" w:eastAsia="Arial" w:cs="Arial"/>
          <w:b/>
          <w:bCs/>
          <w:iCs/>
          <w:sz w:val="28"/>
          <w:szCs w:val="28"/>
        </w:rPr>
        <w:t xml:space="preserve">МОНИТОРИНГ </w:t>
      </w:r>
      <w:r>
        <w:rPr>
          <w:rFonts w:ascii="Arial" w:hAnsi="Arial" w:eastAsia="Arial" w:cs="Arial"/>
          <w:b/>
          <w:bCs/>
          <w:iCs/>
          <w:sz w:val="28"/>
          <w:szCs w:val="28"/>
        </w:rPr>
        <w:t xml:space="preserve">ИС</w:t>
      </w:r>
      <w:bookmarkEnd w:id="161"/>
      <w:r>
        <w:rPr>
          <w:rFonts w:ascii="Arial" w:hAnsi="Arial" w:cs="Arial"/>
          <w:b/>
          <w:bCs/>
          <w:iCs/>
          <w:sz w:val="28"/>
          <w:szCs w:val="28"/>
        </w:rPr>
      </w:r>
      <w:r>
        <w:rPr>
          <w:rFonts w:ascii="Arial" w:hAnsi="Arial" w:cs="Arial"/>
          <w:b/>
          <w:bCs/>
          <w:iCs/>
          <w:sz w:val="28"/>
          <w:szCs w:val="28"/>
        </w:rPr>
      </w:r>
    </w:p>
    <w:p>
      <w:pPr>
        <w:numPr>
          <w:ilvl w:val="2"/>
          <w:numId w:val="16"/>
        </w:numPr>
        <w:ind w:left="0" w:firstLine="0"/>
        <w:keepNext/>
        <w:spacing w:before="360" w:after="120" w:line="240" w:lineRule="auto"/>
        <w:outlineLvl w:val="1"/>
      </w:pPr>
      <w:r/>
      <w:bookmarkStart w:id="162" w:name="_Toc39"/>
      <w:r>
        <w:rPr>
          <w:rFonts w:ascii="Arial" w:hAnsi="Arial" w:eastAsia="Arial" w:cs="Arial"/>
          <w:b/>
          <w:bCs/>
          <w:sz w:val="28"/>
          <w:szCs w:val="28"/>
        </w:rPr>
        <w:t xml:space="preserve">ТРЕБОВАНИЯ К ОБЕСПЕЧЕНИЮ 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МОНИТОРИНГА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 ИС</w:t>
      </w:r>
      <w:bookmarkEnd w:id="162"/>
      <w:r/>
      <w:r/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данном разделе приводят требования к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мониторингу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системы.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Например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  <w:t xml:space="preserve">Должны быть разработаны сценарии мониторинга доступно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  <w:t xml:space="preserve">сти ИС и функционального мониторинга ИС по форматам, поддерживаемыми системами мониторинга Заказчика, для подтверждения доступности и работоспособности ИС путем периодического запуска указанных сценариев для автоматического функционального тестирования ИС.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2"/>
          <w:numId w:val="16"/>
        </w:numPr>
        <w:ind w:left="0" w:firstLine="0"/>
        <w:keepNext/>
        <w:spacing w:before="360" w:after="120" w:line="240" w:lineRule="auto"/>
        <w:rPr>
          <w:rFonts w:ascii="Arial" w:hAnsi="Arial" w:cs="Arial"/>
        </w:rPr>
        <w:outlineLvl w:val="1"/>
      </w:pPr>
      <w:r/>
      <w:bookmarkStart w:id="163" w:name="_Toc40"/>
      <w:r>
        <w:rPr>
          <w:rFonts w:ascii="Arial" w:hAnsi="Arial" w:eastAsia="Arial" w:cs="Arial"/>
          <w:b/>
          <w:bCs/>
          <w:sz w:val="28"/>
          <w:szCs w:val="28"/>
        </w:rPr>
        <w:t xml:space="preserve">РЕШЕНИЕ ПО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 ОБЕСПЕЧЕНИЮ 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МОНИТОРИНГА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 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ИС</w:t>
      </w:r>
      <w:bookmarkEnd w:id="163"/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данном разделе приводят обоснование и описание решения по обеспечению мониторинга функционирования ИС.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Описание решения также должно включать: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236"/>
        <w:numPr>
          <w:ilvl w:val="0"/>
          <w:numId w:val="33"/>
        </w:numPr>
        <w:ind w:left="0" w:firstLine="709"/>
        <w:spacing w:before="120" w:after="120" w:line="360" w:lineRule="auto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решение по обеспечению возможности диагностирования и логирования состояния Подсистем по следующим параметрам: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</w:rPr>
        <w:t xml:space="preserve">состояние очередей запросов на передачу и предоставление данных;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</w:rPr>
        <w:t xml:space="preserve">состояние заданий, выполняющихся по расписанию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</w:rPr>
        <w:t xml:space="preserve">;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numPr>
          <w:ilvl w:val="0"/>
          <w:numId w:val="30"/>
        </w:numPr>
        <w:jc w:val="both"/>
        <w:spacing w:before="120" w:after="0" w:line="360" w:lineRule="auto"/>
        <w:rPr>
          <w:rFonts w:ascii="Times New Roman" w:hAnsi="Times New Roman" w:cs="Times New Roman"/>
          <w:bCs/>
          <w:color w:val="000000"/>
          <w:sz w:val="28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</w:rPr>
        <w:t xml:space="preserve">регистрацию критичных событий в технологическом журнале Подсистем, настраиваемом штатными средствами администрирования Подсистем;</w:t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  <w:r>
        <w:rPr>
          <w:rFonts w:ascii="Times New Roman" w:hAnsi="Times New Roman" w:cs="Times New Roman"/>
          <w:bCs/>
          <w:color w:val="000000"/>
          <w:sz w:val="28"/>
          <w:szCs w:val="20"/>
        </w:rPr>
      </w:r>
    </w:p>
    <w:p>
      <w:pPr>
        <w:numPr>
          <w:ilvl w:val="0"/>
          <w:numId w:val="30"/>
        </w:numPr>
        <w:jc w:val="both"/>
        <w:spacing w:before="120" w:after="150" w:line="360" w:lineRule="auto"/>
        <w:rPr>
          <w:rFonts w:ascii="Times New Roman" w:hAnsi="Times New Roman" w:cs="Times New Roman"/>
          <w:color w:val="33333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</w:rPr>
        <w:t xml:space="preserve">регистрацию событий интеграционного взаимодействия Подсистем в технологических журналах Подсистем;</w:t>
      </w:r>
      <w:r>
        <w:rPr>
          <w:rFonts w:ascii="Times New Roman" w:hAnsi="Times New Roman" w:cs="Times New Roman"/>
          <w:color w:val="333333"/>
          <w:sz w:val="28"/>
          <w:szCs w:val="28"/>
        </w:rPr>
      </w: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150" w:line="360" w:lineRule="auto"/>
        <w:rPr>
          <w:rFonts w:ascii="Times New Roman" w:hAnsi="Times New Roman" w:cs="Times New Roman"/>
          <w:color w:val="33333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возможность обеспечить передачу технологических журналов Подсистем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в централизованную систему мониторинга Федерального Казначейства, в том 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числе  журналы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 функционирования инфраструктурных компонентов (серверы приложений, серверы СУБД, 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web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-сервисы), журналы логирования состояния интеграционного взаимодействия с внешними системами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;</w:t>
      </w:r>
      <w:r>
        <w:rPr>
          <w:rFonts w:ascii="Times New Roman" w:hAnsi="Times New Roman" w:cs="Times New Roman"/>
          <w:color w:val="333333"/>
          <w:sz w:val="28"/>
          <w:szCs w:val="28"/>
        </w:rPr>
      </w: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pStyle w:val="1236"/>
        <w:numPr>
          <w:ilvl w:val="0"/>
          <w:numId w:val="33"/>
        </w:numPr>
        <w:ind w:left="0" w:firstLine="709"/>
        <w:spacing w:before="120" w:after="120" w:line="360" w:lineRule="auto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решение по обеспечению мониторинга состояния интеграцио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нного взаимодействия с внешними системами - каждая значимая операция обмена должна иметь свою сквозную нумерацию, при некорректной отработке которой Подсистемы должна обеспечивать запись ошибки с номером операции в журналы логирования состояния Подсистем.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Перечень значимых операций интеграционного взаимодействия с внешними системами для каждой дорабатываемой функциональности Подсистемы должен быть определен в проектной и/или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236"/>
        <w:numPr>
          <w:ilvl w:val="0"/>
          <w:numId w:val="33"/>
        </w:numPr>
        <w:ind w:left="0" w:firstLine="709"/>
        <w:spacing w:before="120" w:after="120" w:line="360" w:lineRule="auto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возникновении аварийной ситуации либо ошибки в работе Подсистем в системных журналах должен сохраняться полный набор информации, необходимой для идентификации проблемы и формирования сообщений об ошибке.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Рекомендуемый формат записи в лог: timestamp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log_severity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"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message_text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"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time_to_action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150" w:line="360" w:lineRule="auto"/>
        <w:rPr>
          <w:rFonts w:ascii="Times New Roman" w:hAnsi="Times New Roman" w:cs="Times New Roman"/>
          <w:color w:val="33333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timestamp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 – время регистрации события на сервере;</w:t>
      </w:r>
      <w:r>
        <w:rPr>
          <w:rFonts w:ascii="Times New Roman" w:hAnsi="Times New Roman" w:cs="Times New Roman"/>
          <w:color w:val="333333"/>
          <w:sz w:val="28"/>
          <w:szCs w:val="28"/>
        </w:rPr>
      </w: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150" w:line="360" w:lineRule="auto"/>
        <w:rPr>
          <w:rFonts w:ascii="Times New Roman" w:hAnsi="Times New Roman" w:cs="Times New Roman"/>
          <w:color w:val="33333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log_severity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 – уровень критичности сообщения (делится на 4 группы: DEBUG – отладочные сообщения, INFO – типовые сообщения о 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прохождении процесса, WARNING – есть ошибка, но скрипт/модуль еще работает, ERROR – падение скрипта/модуля);</w:t>
      </w:r>
      <w:r>
        <w:rPr>
          <w:rFonts w:ascii="Times New Roman" w:hAnsi="Times New Roman" w:cs="Times New Roman"/>
          <w:color w:val="333333"/>
          <w:sz w:val="28"/>
          <w:szCs w:val="28"/>
        </w:rPr>
      </w: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150" w:line="360" w:lineRule="auto"/>
        <w:rPr>
          <w:rFonts w:ascii="Times New Roman" w:hAnsi="Times New Roman" w:cs="Times New Roman"/>
          <w:color w:val="33333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message_text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 – текст сообщения (описание должно быть интуитивно понятное);</w:t>
      </w:r>
      <w:r>
        <w:rPr>
          <w:rFonts w:ascii="Times New Roman" w:hAnsi="Times New Roman" w:cs="Times New Roman"/>
          <w:color w:val="333333"/>
          <w:sz w:val="28"/>
          <w:szCs w:val="28"/>
        </w:rPr>
      </w: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150" w:line="360" w:lineRule="auto"/>
        <w:rPr>
          <w:rFonts w:ascii="Times New Roman" w:hAnsi="Times New Roman" w:cs="Times New Roman"/>
          <w:color w:val="33333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time_to_action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 – время, потраченное в секундах на выполнение операции (при необходимости).</w:t>
      </w:r>
      <w:r>
        <w:rPr>
          <w:rFonts w:ascii="Times New Roman" w:hAnsi="Times New Roman" w:cs="Times New Roman"/>
          <w:color w:val="333333"/>
          <w:sz w:val="28"/>
          <w:szCs w:val="28"/>
        </w:rPr>
      </w: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ind w:firstLine="709"/>
        <w:jc w:val="both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 целью мониторинга пользовательской нагрузки (активности) необходимо обеспечить сбор следующей информации: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150" w:line="360" w:lineRule="auto"/>
        <w:rPr>
          <w:rFonts w:ascii="Times New Roman" w:hAnsi="Times New Roman" w:cs="Times New Roman"/>
          <w:color w:val="33333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количество пользователей, зарегистрированных в системе;</w:t>
      </w:r>
      <w:r>
        <w:rPr>
          <w:rFonts w:ascii="Times New Roman" w:hAnsi="Times New Roman" w:cs="Times New Roman"/>
          <w:color w:val="333333"/>
          <w:sz w:val="28"/>
          <w:szCs w:val="28"/>
        </w:rPr>
      </w: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numPr>
          <w:ilvl w:val="0"/>
          <w:numId w:val="30"/>
        </w:numPr>
        <w:jc w:val="both"/>
        <w:spacing w:before="120" w:after="150" w:line="360" w:lineRule="auto"/>
        <w:rPr>
          <w:rFonts w:ascii="Times New Roman" w:hAnsi="Times New Roman" w:cs="Times New Roman"/>
          <w:color w:val="33333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количество активных сеансов пользователей в определенный момент времени.</w:t>
      </w:r>
      <w:r>
        <w:rPr>
          <w:rFonts w:ascii="Times New Roman" w:hAnsi="Times New Roman" w:cs="Times New Roman"/>
          <w:color w:val="333333"/>
          <w:sz w:val="28"/>
          <w:szCs w:val="28"/>
        </w:rPr>
      </w: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ind w:left="1276" w:firstLine="0"/>
        <w:spacing w:before="120" w:after="120" w:line="360" w:lineRule="auto"/>
        <w:rPr>
          <w:highlight w:val="none"/>
        </w:rPr>
      </w:pPr>
      <w:r>
        <w:rPr>
          <w:szCs w:val="28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258"/>
        <w:numPr>
          <w:ilvl w:val="0"/>
          <w:numId w:val="16"/>
        </w:numPr>
        <w:ind w:left="0" w:firstLine="0"/>
        <w:keepNext/>
        <w:pageBreakBefore w:val="0"/>
        <w:spacing w:before="360" w:after="120"/>
        <w:rPr>
          <w:rFonts w:ascii="Arial" w:hAnsi="Arial"/>
        </w:rPr>
      </w:pPr>
      <w:r/>
      <w:bookmarkStart w:id="164" w:name="_Toc41"/>
      <w:r>
        <w:rPr>
          <w:rFonts w:ascii="Arial" w:hAnsi="Arial"/>
        </w:rPr>
        <w:t xml:space="preserve">Источники разработки</w:t>
      </w:r>
      <w:bookmarkEnd w:id="164"/>
      <w:r>
        <w:rPr>
          <w:rFonts w:ascii="Arial" w:hAnsi="Arial"/>
        </w:rPr>
      </w:r>
      <w:r>
        <w:rPr>
          <w:rFonts w:ascii="Arial" w:hAnsi="Arial"/>
        </w:rPr>
      </w:r>
    </w:p>
    <w:p>
      <w:pPr>
        <w:ind w:firstLine="708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Порядок оформления и предъявления Заказчику результатов работ по с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зда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ию </w:t>
      </w:r>
      <w:r>
        <w:rPr>
          <w:rFonts w:ascii="Times New Roman" w:hAnsi="Times New Roman" w:cs="Times New Roman"/>
          <w:sz w:val="28"/>
          <w:szCs w:val="28"/>
        </w:rPr>
        <w:t xml:space="preserve">СА</w:t>
      </w:r>
      <w:r>
        <w:rPr>
          <w:rFonts w:ascii="Times New Roman" w:hAnsi="Times New Roman" w:cs="Times New Roman"/>
          <w:sz w:val="28"/>
          <w:szCs w:val="28"/>
        </w:rPr>
        <w:t xml:space="preserve"> должен учитывать требования следующего комплекса стандартов и руководящих документов на создание </w:t>
      </w:r>
      <w:r>
        <w:rPr>
          <w:rFonts w:ascii="Times New Roman" w:hAnsi="Times New Roman" w:cs="Times New Roman"/>
          <w:sz w:val="28"/>
          <w:szCs w:val="28"/>
        </w:rPr>
        <w:t xml:space="preserve">СА и </w:t>
      </w:r>
      <w:r>
        <w:rPr>
          <w:rFonts w:ascii="Times New Roman" w:hAnsi="Times New Roman" w:cs="Times New Roman"/>
          <w:sz w:val="28"/>
          <w:szCs w:val="28"/>
        </w:rPr>
        <w:t xml:space="preserve">автоматизированных систем: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236"/>
        <w:numPr>
          <w:ilvl w:val="0"/>
          <w:numId w:val="14"/>
        </w:numPr>
        <w:spacing w:before="120" w:after="120" w:line="360" w:lineRule="auto"/>
        <w:rPr>
          <w:szCs w:val="28"/>
        </w:rPr>
      </w:pPr>
      <w:r>
        <w:rPr>
          <w:szCs w:val="28"/>
        </w:rPr>
        <w:t xml:space="preserve">ГОСТ 34.003-90. Информационная технология. Комплекс стандартов на автоматизированные системы. Автоматизированные системы. Термины и определения;</w:t>
      </w:r>
      <w:r>
        <w:rPr>
          <w:szCs w:val="28"/>
        </w:rPr>
      </w:r>
      <w:r>
        <w:rPr>
          <w:szCs w:val="28"/>
        </w:rPr>
      </w:r>
    </w:p>
    <w:p>
      <w:pPr>
        <w:pStyle w:val="1236"/>
        <w:numPr>
          <w:ilvl w:val="0"/>
          <w:numId w:val="14"/>
        </w:numPr>
        <w:spacing w:before="120" w:after="120" w:line="360" w:lineRule="auto"/>
        <w:rPr>
          <w:szCs w:val="28"/>
        </w:rPr>
      </w:pPr>
      <w:r>
        <w:rPr>
          <w:szCs w:val="28"/>
        </w:rPr>
        <w:t xml:space="preserve">ГОСТ Р 57100—2016/ISO/IEC/IEEE 42010:2011. Системная и программная инженерия. Описание архитектуры.</w:t>
      </w:r>
      <w:r>
        <w:rPr>
          <w:szCs w:val="28"/>
        </w:rPr>
      </w:r>
      <w:r>
        <w:rPr>
          <w:szCs w:val="28"/>
        </w:rPr>
      </w:r>
    </w:p>
    <w:p>
      <w:pPr>
        <w:ind w:firstLine="708"/>
        <w:spacing w:line="360" w:lineRule="auto"/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Дополнительно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 в качестве рекомендованных к рассмотрению можно привести: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pStyle w:val="1186"/>
        <w:numPr>
          <w:ilvl w:val="0"/>
          <w:numId w:val="1"/>
        </w:numPr>
        <w:ind w:left="284" w:firstLine="0"/>
        <w:tabs>
          <w:tab w:val="num" w:pos="284" w:leader="none"/>
        </w:tabs>
      </w:pPr>
      <w:r>
        <w:t xml:space="preserve">IEEE 1471</w:t>
      </w:r>
      <w:r>
        <w:t xml:space="preserve">.</w:t>
      </w:r>
      <w:r>
        <w:t xml:space="preserve"> Рекомендуемые методы описания архитектуры программных систем.</w:t>
      </w:r>
      <w:r/>
    </w:p>
    <w:p>
      <w:pP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pPr>
        <w:ind w:firstLine="708"/>
        <w:spacing w:line="360" w:lineRule="auto"/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Также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для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создания СА рекомендуется использовать референтные модели архитектур ведущих мировых ИТ-производителей (Microsoft, Cisco, IBM,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val="en-US" w:eastAsia="ru-RU"/>
        </w:rPr>
        <w:t xml:space="preserve">HPE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  <w:t xml:space="preserve">EMC, др) и других производителей, продукция которых планируется к использованию в проектируемой ИС. 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8"/>
          <w:szCs w:val="20"/>
          <w:lang w:eastAsia="ru-RU"/>
        </w:rPr>
      </w:r>
    </w:p>
    <w:p>
      <w:r/>
      <w:r/>
    </w:p>
    <w:p>
      <w:pPr>
        <w:pStyle w:val="1164"/>
        <w:outlineLvl w:val="9"/>
      </w:pPr>
      <w:r/>
      <w:r/>
    </w:p>
    <w:p>
      <w:pPr>
        <w:pStyle w:val="1164"/>
        <w:outlineLvl w:val="9"/>
      </w:pPr>
      <w:r/>
      <w:r/>
    </w:p>
    <w:p>
      <w:pPr>
        <w:pStyle w:val="1164"/>
        <w:outlineLvl w:val="9"/>
      </w:pPr>
      <w:r/>
      <w:r/>
    </w:p>
    <w:p>
      <w:pPr>
        <w:pStyle w:val="1164"/>
        <w:outlineLvl w:val="9"/>
      </w:pPr>
      <w:r/>
      <w:r/>
    </w:p>
    <w:p>
      <w:pPr>
        <w:keepNext/>
        <w:spacing w:before="360" w:after="12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  <w:outlineLvl w:val="0"/>
      </w:pPr>
      <w:r/>
      <w:bookmarkStart w:id="165" w:name="_Toc42"/>
      <w:r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  <w:t xml:space="preserve">Согласовано</w:t>
      </w:r>
      <w:bookmarkEnd w:id="165"/>
      <w:r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</w:r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Наименование организации, предприятия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br/>
              <w:t xml:space="preserve">исполнителя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Фамилия, имя, отчество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0"/>
          <w:lang w:eastAsia="ru-RU"/>
        </w:rPr>
      </w:r>
    </w:p>
    <w:p>
      <w:pPr>
        <w:keepNext/>
        <w:spacing w:before="360" w:after="12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  <w:outlineLvl w:val="0"/>
      </w:pPr>
      <w:r/>
      <w:bookmarkStart w:id="166" w:name="_Toc43"/>
      <w:r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  <w:t xml:space="preserve">Лист регистрации изменений</w:t>
      </w:r>
      <w:bookmarkEnd w:id="166"/>
      <w:r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20"/>
          <w:lang w:eastAsia="ru-RU"/>
        </w:rPr>
      </w:r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br/>
              <w:t xml:space="preserve">версии док-та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br/>
              <w:t xml:space="preserve">изменения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Автор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br/>
              <w:t xml:space="preserve">изменений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Изменения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01.01.2000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И.А.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версия, разработана в рамках в рамках &lt;этап/период/очередь или иной тип </w:t>
            </w:r>
            <w:bookmarkStart w:id="123" w:name="_GoBack"/>
            <w:r/>
            <w:bookmarkEnd w:id="12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работ&gt; Государственного контракта от ДД.ММ.ГГГГ № ХХ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02"/>
        </w:trPr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ff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ff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0"/>
          <w:lang w:eastAsia="ru-RU"/>
        </w:rPr>
      </w:r>
    </w:p>
    <w:p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</w:r>
      <w:r>
        <w:rPr>
          <w:rFonts w:ascii="Times New Roman" w:hAnsi="Times New Roman" w:cs="Times New Roman"/>
          <w:color w:val="ff0000"/>
        </w:rPr>
      </w:r>
      <w:r>
        <w:rPr>
          <w:rFonts w:ascii="Times New Roman" w:hAnsi="Times New Roman" w:cs="Times New Roman"/>
          <w:color w:val="ff0000"/>
        </w:rPr>
      </w:r>
    </w:p>
    <w:sectPr>
      <w:headerReference w:type="default" r:id="rId10"/>
      <w:footerReference w:type="first" r:id="rId12"/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2"/>
      <w:rPr>
        <w:rStyle w:val="1235"/>
        <w:lang w:val="en-US"/>
      </w:rPr>
    </w:pPr>
    <w:r>
      <w:t xml:space="preserve">20</w:t>
    </w:r>
    <w:r>
      <w:rPr>
        <w:rStyle w:val="1235"/>
      </w:rPr>
      <w:t xml:space="preserve"> </w:t>
    </w:r>
    <w:r>
      <w:rPr>
        <w:rStyle w:val="1235"/>
      </w:rPr>
      <w:t xml:space="preserve"> </w:t>
    </w:r>
    <w:r>
      <w:rPr>
        <w:rStyle w:val="1235"/>
        <w:lang w:val="en-US"/>
      </w:rPr>
      <w:t xml:space="preserve"> </w:t>
    </w:r>
    <w:r>
      <w:t xml:space="preserve">г.</w:t>
    </w:r>
    <w:r>
      <w:rPr>
        <w:rStyle w:val="1235"/>
        <w:lang w:val="en-US"/>
      </w:rPr>
    </w:r>
    <w:r>
      <w:rPr>
        <w:rStyle w:val="1235"/>
        <w:lang w:val="en-U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2"/>
      <w:rPr>
        <w:rStyle w:val="1235"/>
        <w:lang w:val="en-US"/>
      </w:rPr>
    </w:pPr>
    <w:r>
      <w:t xml:space="preserve">20</w:t>
    </w:r>
    <w:r>
      <w:rPr>
        <w:rStyle w:val="1235"/>
      </w:rPr>
      <w:t xml:space="preserve"> </w:t>
    </w:r>
    <w:r>
      <w:rPr>
        <w:rStyle w:val="1235"/>
      </w:rPr>
      <w:t xml:space="preserve"> </w:t>
    </w:r>
    <w:r>
      <w:rPr>
        <w:rStyle w:val="1235"/>
        <w:lang w:val="en-US"/>
      </w:rPr>
      <w:t xml:space="preserve"> </w:t>
    </w:r>
    <w:r>
      <w:t xml:space="preserve">г.</w:t>
    </w:r>
    <w:r>
      <w:rPr>
        <w:rStyle w:val="1235"/>
        <w:lang w:val="en-US"/>
      </w:rPr>
    </w:r>
    <w:r>
      <w:rPr>
        <w:rStyle w:val="1235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191"/>
      </w:pPr>
      <w:r>
        <w:rPr>
          <w:rStyle w:val="1193"/>
        </w:rPr>
        <w:footnoteRef/>
      </w:r>
      <w:r>
        <w:t xml:space="preserve"> </w:t>
      </w:r>
      <w:r>
        <w:t xml:space="preserve">Например</w:t>
      </w:r>
      <w:r>
        <w:t xml:space="preserve">, </w:t>
      </w:r>
      <w:r>
        <w:t xml:space="preserve">если</w:t>
      </w:r>
      <w:r>
        <w:t xml:space="preserve"> </w:t>
      </w:r>
      <w:r>
        <w:rPr>
          <w:lang w:val="en-US"/>
        </w:rPr>
        <w:t xml:space="preserve">Postgres</w:t>
      </w:r>
      <w:r>
        <w:t xml:space="preserve"> </w:t>
      </w:r>
      <w:r>
        <w:rPr>
          <w:lang w:val="en-US"/>
        </w:rPr>
        <w:t xml:space="preserve">Pro</w:t>
      </w:r>
      <w:r>
        <w:t xml:space="preserve"> </w:t>
      </w:r>
      <w:r>
        <w:rPr>
          <w:lang w:val="en-US"/>
        </w:rPr>
        <w:t xml:space="preserve">Enterprise</w:t>
      </w:r>
      <w:r>
        <w:t xml:space="preserve"> 9.3</w:t>
      </w:r>
      <w:r>
        <w:t xml:space="preserve"> используется в качестве СУБД в одной из компонент, то в и в другой должно использоваться </w:t>
      </w:r>
      <w:r>
        <w:t xml:space="preserve">Postgres</w:t>
      </w:r>
      <w:r>
        <w:t xml:space="preserve"> </w:t>
      </w:r>
      <w:r>
        <w:t xml:space="preserve">Pro</w:t>
      </w:r>
      <w:r>
        <w:t xml:space="preserve"> </w:t>
      </w:r>
      <w:r>
        <w:t xml:space="preserve">Enterprise</w:t>
      </w:r>
      <w:r>
        <w:t xml:space="preserve"> 9.3</w:t>
      </w:r>
      <w:r>
        <w:t xml:space="preserve">.</w:t>
      </w:r>
      <w:r/>
    </w:p>
  </w:footnote>
  <w:footnote w:id="3">
    <w:p>
      <w:pPr>
        <w:pStyle w:val="1191"/>
        <w:rPr>
          <w:rFonts w:ascii="Times New Roman" w:hAnsi="Times New Roman"/>
        </w:rPr>
      </w:pPr>
      <w:r>
        <w:rPr>
          <w:rStyle w:val="119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функционирующей </w:t>
      </w:r>
      <w:r>
        <w:rPr>
          <w:rFonts w:ascii="Times New Roman" w:hAnsi="Times New Roman"/>
        </w:rPr>
        <w:t xml:space="preserve">ИС</w:t>
      </w:r>
      <w:r>
        <w:rPr>
          <w:rFonts w:ascii="Times New Roman" w:hAnsi="Times New Roman"/>
        </w:rPr>
        <w:t xml:space="preserve"> при обосновании должны учитываться статистические данные, собранные в процессе функционирования </w:t>
      </w:r>
      <w:r>
        <w:rPr>
          <w:rFonts w:ascii="Times New Roman" w:hAnsi="Times New Roman"/>
        </w:rPr>
        <w:t xml:space="preserve">ИС</w:t>
      </w:r>
      <w:r>
        <w:rPr>
          <w:rFonts w:ascii="Times New Roman" w:hAnsi="Times New Roman"/>
        </w:rPr>
        <w:t xml:space="preserve"> и планируемые сроки эксплуатации (горизонт планирования), объемы обрабатываемых данных, значения показателей уровня доступности (целевые значения) и производительности </w:t>
      </w:r>
      <w:r>
        <w:rPr>
          <w:rFonts w:ascii="Times New Roman" w:hAnsi="Times New Roman"/>
        </w:rPr>
        <w:t xml:space="preserve">ИС</w:t>
      </w:r>
      <w:r>
        <w:rPr>
          <w:rFonts w:ascii="Times New Roman" w:hAnsi="Times New Roman"/>
        </w:rPr>
        <w:t xml:space="preserve">. В случае создания </w:t>
      </w:r>
      <w:r>
        <w:rPr>
          <w:rFonts w:ascii="Times New Roman" w:hAnsi="Times New Roman"/>
        </w:rPr>
        <w:t xml:space="preserve">ИС</w:t>
      </w:r>
      <w:r>
        <w:rPr>
          <w:rFonts w:ascii="Times New Roman" w:hAnsi="Times New Roman"/>
        </w:rPr>
        <w:t xml:space="preserve"> необходимо учитывать</w:t>
      </w:r>
      <w:r>
        <w:rPr>
          <w:rFonts w:ascii="Times New Roman" w:hAnsi="Times New Roman"/>
        </w:rPr>
        <w:t xml:space="preserve"> экспертную оценку или </w:t>
      </w:r>
      <w:r>
        <w:rPr>
          <w:rFonts w:ascii="Times New Roman" w:hAnsi="Times New Roman"/>
        </w:rPr>
        <w:t xml:space="preserve">плановые показатели,</w:t>
      </w:r>
      <w:r>
        <w:rPr>
          <w:rFonts w:ascii="Times New Roman" w:hAnsi="Times New Roman"/>
        </w:rPr>
        <w:t xml:space="preserve"> приведенные в ЧТЗ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11"/>
      <w:gridCol w:w="6213"/>
      <w:gridCol w:w="1072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Техническое задание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XXXXXXXX.AA.BB,BB.</w:t>
          </w:r>
          <w:r>
            <w:rPr>
              <w:rStyle w:val="1233"/>
            </w:rPr>
            <w:t xml:space="preserve">ТЗ</w:t>
          </w:r>
          <w:r>
            <w:t xml:space="preserve">.DDD-E.E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228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2</w:t>
          </w:r>
          <w:r>
            <w:fldChar w:fldCharType="end"/>
          </w:r>
          <w:r/>
        </w:p>
      </w:tc>
    </w:tr>
  </w:tbl>
  <w:p>
    <w:pPr>
      <w:pStyle w:val="117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Системная архитектура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228"/>
          </w:pPr>
          <w:r>
            <w:t xml:space="preserve">XXXXXXXX.AA.BB,BB.</w:t>
          </w:r>
          <w:r>
            <w:rPr>
              <w:rStyle w:val="1233"/>
            </w:rPr>
            <w:t xml:space="preserve">СА</w:t>
          </w:r>
          <w:r>
            <w:t xml:space="preserve">.DDD-E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228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21</w:t>
          </w:r>
          <w:r>
            <w:fldChar w:fldCharType="end"/>
          </w:r>
          <w:r/>
        </w:p>
      </w:tc>
    </w:tr>
  </w:tbl>
  <w:p>
    <w:pPr>
      <w:pStyle w:val="11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pStyle w:val="1223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143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44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7.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1146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pStyle w:val="1205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76" w:hanging="567"/>
        <w:tabs>
          <w:tab w:val="num" w:pos="127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none"/>
      <w:pStyle w:val="1187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80" w:hanging="48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pStyle w:val="1194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76" w:hanging="567"/>
        <w:tabs>
          <w:tab w:val="num" w:pos="127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76" w:hanging="567"/>
        <w:tabs>
          <w:tab w:val="num" w:pos="127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pStyle w:val="1247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76" w:hanging="567"/>
        <w:tabs>
          <w:tab w:val="num" w:pos="127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pStyle w:val="1182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pStyle w:val="1189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pStyle w:val="1179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76" w:hanging="567"/>
        <w:tabs>
          <w:tab w:val="num" w:pos="127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76" w:hanging="567"/>
        <w:tabs>
          <w:tab w:val="num" w:pos="127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  <w:bCs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76" w:hanging="567"/>
        <w:tabs>
          <w:tab w:val="num" w:pos="127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76" w:hanging="567"/>
        <w:tabs>
          <w:tab w:val="num" w:pos="127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  <w:bCs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23"/>
  </w:num>
  <w:num w:numId="5">
    <w:abstractNumId w:val="19"/>
  </w:num>
  <w:num w:numId="6">
    <w:abstractNumId w:val="9"/>
  </w:num>
  <w:num w:numId="7">
    <w:abstractNumId w:val="3"/>
  </w:num>
  <w:num w:numId="8">
    <w:abstractNumId w:val="5"/>
  </w:num>
  <w:num w:numId="9">
    <w:abstractNumId w:val="1"/>
  </w:num>
  <w:num w:numId="10">
    <w:abstractNumId w:val="15"/>
  </w:num>
  <w:num w:numId="11">
    <w:abstractNumId w:val="20"/>
  </w:num>
  <w:num w:numId="12">
    <w:abstractNumId w:val="12"/>
  </w:num>
  <w:num w:numId="13">
    <w:abstractNumId w:val="14"/>
  </w:num>
  <w:num w:numId="14">
    <w:abstractNumId w:val="6"/>
  </w:num>
  <w:num w:numId="15">
    <w:abstractNumId w:val="4"/>
  </w:num>
  <w:num w:numId="16">
    <w:abstractNumId w:val="18"/>
  </w:num>
  <w:num w:numId="17">
    <w:abstractNumId w:val="16"/>
  </w:num>
  <w:num w:numId="18">
    <w:abstractNumId w:val="21"/>
  </w:num>
  <w:num w:numId="19">
    <w:abstractNumId w:val="24"/>
  </w:num>
  <w:num w:numId="20">
    <w:abstractNumId w:val="0"/>
  </w:num>
  <w:num w:numId="21">
    <w:abstractNumId w:val="8"/>
  </w:num>
  <w:num w:numId="22">
    <w:abstractNumId w:val="10"/>
  </w:num>
  <w:num w:numId="23">
    <w:abstractNumId w:val="13"/>
  </w:num>
  <w:num w:numId="24">
    <w:abstractNumId w:val="11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92">
    <w:name w:val="Heading 1 Char"/>
    <w:basedOn w:val="1150"/>
    <w:link w:val="1143"/>
    <w:uiPriority w:val="9"/>
    <w:rPr>
      <w:rFonts w:ascii="Arial" w:hAnsi="Arial" w:eastAsia="Arial" w:cs="Arial"/>
      <w:sz w:val="40"/>
      <w:szCs w:val="40"/>
    </w:rPr>
  </w:style>
  <w:style w:type="character" w:styleId="993">
    <w:name w:val="Heading 2 Char"/>
    <w:basedOn w:val="1150"/>
    <w:link w:val="1144"/>
    <w:uiPriority w:val="9"/>
    <w:rPr>
      <w:rFonts w:ascii="Arial" w:hAnsi="Arial" w:eastAsia="Arial" w:cs="Arial"/>
      <w:sz w:val="34"/>
    </w:rPr>
  </w:style>
  <w:style w:type="character" w:styleId="994">
    <w:name w:val="Heading 3 Char"/>
    <w:basedOn w:val="1150"/>
    <w:link w:val="1145"/>
    <w:uiPriority w:val="9"/>
    <w:rPr>
      <w:rFonts w:ascii="Arial" w:hAnsi="Arial" w:eastAsia="Arial" w:cs="Arial"/>
      <w:sz w:val="30"/>
      <w:szCs w:val="30"/>
    </w:rPr>
  </w:style>
  <w:style w:type="character" w:styleId="995">
    <w:name w:val="Heading 4 Char"/>
    <w:basedOn w:val="1150"/>
    <w:link w:val="1146"/>
    <w:uiPriority w:val="9"/>
    <w:rPr>
      <w:rFonts w:ascii="Arial" w:hAnsi="Arial" w:eastAsia="Arial" w:cs="Arial"/>
      <w:b/>
      <w:bCs/>
      <w:sz w:val="26"/>
      <w:szCs w:val="26"/>
    </w:rPr>
  </w:style>
  <w:style w:type="character" w:styleId="996">
    <w:name w:val="Heading 5 Char"/>
    <w:basedOn w:val="1150"/>
    <w:link w:val="1147"/>
    <w:uiPriority w:val="9"/>
    <w:rPr>
      <w:rFonts w:ascii="Arial" w:hAnsi="Arial" w:eastAsia="Arial" w:cs="Arial"/>
      <w:b/>
      <w:bCs/>
      <w:sz w:val="24"/>
      <w:szCs w:val="24"/>
    </w:rPr>
  </w:style>
  <w:style w:type="character" w:styleId="997">
    <w:name w:val="Heading 6 Char"/>
    <w:basedOn w:val="1150"/>
    <w:link w:val="1148"/>
    <w:uiPriority w:val="9"/>
    <w:rPr>
      <w:rFonts w:ascii="Arial" w:hAnsi="Arial" w:eastAsia="Arial" w:cs="Arial"/>
      <w:b/>
      <w:bCs/>
      <w:sz w:val="22"/>
      <w:szCs w:val="22"/>
    </w:rPr>
  </w:style>
  <w:style w:type="character" w:styleId="998">
    <w:name w:val="Heading 7 Char"/>
    <w:basedOn w:val="1150"/>
    <w:link w:val="11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99">
    <w:name w:val="Heading 8"/>
    <w:basedOn w:val="1142"/>
    <w:next w:val="1142"/>
    <w:link w:val="10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00">
    <w:name w:val="Heading 8 Char"/>
    <w:basedOn w:val="1150"/>
    <w:link w:val="999"/>
    <w:uiPriority w:val="9"/>
    <w:rPr>
      <w:rFonts w:ascii="Arial" w:hAnsi="Arial" w:eastAsia="Arial" w:cs="Arial"/>
      <w:i/>
      <w:iCs/>
      <w:sz w:val="22"/>
      <w:szCs w:val="22"/>
    </w:rPr>
  </w:style>
  <w:style w:type="paragraph" w:styleId="1001">
    <w:name w:val="Heading 9"/>
    <w:basedOn w:val="1142"/>
    <w:next w:val="1142"/>
    <w:link w:val="10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02">
    <w:name w:val="Heading 9 Char"/>
    <w:basedOn w:val="1150"/>
    <w:link w:val="1001"/>
    <w:uiPriority w:val="9"/>
    <w:rPr>
      <w:rFonts w:ascii="Arial" w:hAnsi="Arial" w:eastAsia="Arial" w:cs="Arial"/>
      <w:i/>
      <w:iCs/>
      <w:sz w:val="21"/>
      <w:szCs w:val="21"/>
    </w:rPr>
  </w:style>
  <w:style w:type="paragraph" w:styleId="1003">
    <w:name w:val="No Spacing"/>
    <w:uiPriority w:val="1"/>
    <w:qFormat/>
    <w:pPr>
      <w:spacing w:before="0" w:after="0" w:line="240" w:lineRule="auto"/>
    </w:pPr>
  </w:style>
  <w:style w:type="paragraph" w:styleId="1004">
    <w:name w:val="Title"/>
    <w:basedOn w:val="1142"/>
    <w:next w:val="1142"/>
    <w:link w:val="10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05">
    <w:name w:val="Title Char"/>
    <w:basedOn w:val="1150"/>
    <w:link w:val="1004"/>
    <w:uiPriority w:val="10"/>
    <w:rPr>
      <w:sz w:val="48"/>
      <w:szCs w:val="48"/>
    </w:rPr>
  </w:style>
  <w:style w:type="paragraph" w:styleId="1006">
    <w:name w:val="Subtitle"/>
    <w:basedOn w:val="1142"/>
    <w:next w:val="1142"/>
    <w:link w:val="1007"/>
    <w:uiPriority w:val="11"/>
    <w:qFormat/>
    <w:pPr>
      <w:spacing w:before="200" w:after="200"/>
    </w:pPr>
    <w:rPr>
      <w:sz w:val="24"/>
      <w:szCs w:val="24"/>
    </w:rPr>
  </w:style>
  <w:style w:type="character" w:styleId="1007">
    <w:name w:val="Subtitle Char"/>
    <w:basedOn w:val="1150"/>
    <w:link w:val="1006"/>
    <w:uiPriority w:val="11"/>
    <w:rPr>
      <w:sz w:val="24"/>
      <w:szCs w:val="24"/>
    </w:rPr>
  </w:style>
  <w:style w:type="paragraph" w:styleId="1008">
    <w:name w:val="Quote"/>
    <w:basedOn w:val="1142"/>
    <w:next w:val="1142"/>
    <w:link w:val="1009"/>
    <w:uiPriority w:val="29"/>
    <w:qFormat/>
    <w:pPr>
      <w:ind w:left="720" w:right="720"/>
    </w:pPr>
    <w:rPr>
      <w:i/>
    </w:rPr>
  </w:style>
  <w:style w:type="character" w:styleId="1009">
    <w:name w:val="Quote Char"/>
    <w:link w:val="1008"/>
    <w:uiPriority w:val="29"/>
    <w:rPr>
      <w:i/>
    </w:rPr>
  </w:style>
  <w:style w:type="paragraph" w:styleId="1010">
    <w:name w:val="Intense Quote"/>
    <w:basedOn w:val="1142"/>
    <w:next w:val="1142"/>
    <w:link w:val="10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11">
    <w:name w:val="Intense Quote Char"/>
    <w:link w:val="1010"/>
    <w:uiPriority w:val="30"/>
    <w:rPr>
      <w:i/>
    </w:rPr>
  </w:style>
  <w:style w:type="character" w:styleId="1012">
    <w:name w:val="Header Char"/>
    <w:basedOn w:val="1150"/>
    <w:link w:val="1170"/>
    <w:uiPriority w:val="99"/>
  </w:style>
  <w:style w:type="character" w:styleId="1013">
    <w:name w:val="Footer Char"/>
    <w:basedOn w:val="1150"/>
    <w:link w:val="1174"/>
    <w:uiPriority w:val="99"/>
  </w:style>
  <w:style w:type="character" w:styleId="1014">
    <w:name w:val="Caption Char"/>
    <w:basedOn w:val="1237"/>
    <w:link w:val="1174"/>
    <w:uiPriority w:val="99"/>
  </w:style>
  <w:style w:type="table" w:styleId="1015">
    <w:name w:val="Table Grid Light"/>
    <w:basedOn w:val="11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6">
    <w:name w:val="Plain Table 1"/>
    <w:basedOn w:val="11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7">
    <w:name w:val="Plain Table 2"/>
    <w:basedOn w:val="11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8">
    <w:name w:val="Plain Table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9">
    <w:name w:val="Plain Table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Plain Table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1">
    <w:name w:val="Grid Table 1 Light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1 Light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1 Light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Grid Table 1 Light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Grid Table 1 Light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Grid Table 1 Light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Grid Table 1 Light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Grid Table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2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2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2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2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2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2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3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3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3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3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3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4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3">
    <w:name w:val="Grid Table 4 - Accent 1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4">
    <w:name w:val="Grid Table 4 - Accent 2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5">
    <w:name w:val="Grid Table 4 - Accent 3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6">
    <w:name w:val="Grid Table 4 - Accent 4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7">
    <w:name w:val="Grid Table 4 - Accent 5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8">
    <w:name w:val="Grid Table 4 - Accent 6"/>
    <w:basedOn w:val="11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49">
    <w:name w:val="Grid Table 5 Dark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50">
    <w:name w:val="Grid Table 5 Dark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051">
    <w:name w:val="Grid Table 5 Dark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52">
    <w:name w:val="Grid Table 5 Dark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53">
    <w:name w:val="Grid Table 5 Dark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54">
    <w:name w:val="Grid Table 5 Dark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055">
    <w:name w:val="Grid Table 5 Dark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56">
    <w:name w:val="Grid Table 6 Colorful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7">
    <w:name w:val="Grid Table 6 Colorful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58">
    <w:name w:val="Grid Table 6 Colorful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59">
    <w:name w:val="Grid Table 6 Colorful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60">
    <w:name w:val="Grid Table 6 Colorful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61">
    <w:name w:val="Grid Table 6 Colorful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2">
    <w:name w:val="Grid Table 6 Colorful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3">
    <w:name w:val="Grid Table 7 Colorful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7 Colorful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7 Colorful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7 Colorful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7 Colorful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7 Colorful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Grid Table 7 Colorful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List Table 1 Light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1 Light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1 Light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1 Light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>
    <w:name w:val="List Table 1 Light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List Table 1 Light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>
    <w:name w:val="List Table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8">
    <w:name w:val="List Table 2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79">
    <w:name w:val="List Table 2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80">
    <w:name w:val="List Table 2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81">
    <w:name w:val="List Table 2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82">
    <w:name w:val="List Table 2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3">
    <w:name w:val="List Table 2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4">
    <w:name w:val="List Table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3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3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3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3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3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3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4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4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4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List Table 4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4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>
    <w:name w:val="List Table 5 Dark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9">
    <w:name w:val="List Table 5 Dark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0">
    <w:name w:val="List Table 5 Dark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1">
    <w:name w:val="List Table 5 Dark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2">
    <w:name w:val="List Table 5 Dark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3">
    <w:name w:val="List Table 5 Dark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4">
    <w:name w:val="List Table 5 Dark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5">
    <w:name w:val="List Table 6 Colorful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6">
    <w:name w:val="List Table 6 Colorful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7">
    <w:name w:val="List Table 6 Colorful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8">
    <w:name w:val="List Table 6 Colorful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09">
    <w:name w:val="List Table 6 Colorful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0">
    <w:name w:val="List Table 6 Colorful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11">
    <w:name w:val="List Table 6 Colorful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12">
    <w:name w:val="List Table 7 Colorful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13">
    <w:name w:val="List Table 7 Colorful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114">
    <w:name w:val="List Table 7 Colorful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5">
    <w:name w:val="List Table 7 Colorful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16">
    <w:name w:val="List Table 7 Colorful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17">
    <w:name w:val="List Table 7 Colorful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118">
    <w:name w:val="List Table 7 Colorful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19">
    <w:name w:val="Lined - Accent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0">
    <w:name w:val="Lined - Accent 1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121">
    <w:name w:val="Lined - Accent 2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2">
    <w:name w:val="Lined - Accent 3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3">
    <w:name w:val="Lined - Accent 4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4">
    <w:name w:val="Lined - Accent 5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125">
    <w:name w:val="Lined - Accent 6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6">
    <w:name w:val="Bordered &amp; Lined - Accent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7">
    <w:name w:val="Bordered &amp; Lined - Accent 1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128">
    <w:name w:val="Bordered &amp; Lined - Accent 2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9">
    <w:name w:val="Bordered &amp; Lined - Accent 3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30">
    <w:name w:val="Bordered &amp; Lined - Accent 4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31">
    <w:name w:val="Bordered &amp; Lined - Accent 5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132">
    <w:name w:val="Bordered &amp; Lined - Accent 6"/>
    <w:basedOn w:val="11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33">
    <w:name w:val="Bordered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4">
    <w:name w:val="Bordered - Accent 1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5">
    <w:name w:val="Bordered - Accent 2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6">
    <w:name w:val="Bordered - Accent 3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7">
    <w:name w:val="Bordered - Accent 4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8">
    <w:name w:val="Bordered - Accent 5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39">
    <w:name w:val="Bordered - Accent 6"/>
    <w:basedOn w:val="11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40">
    <w:name w:val="Footnote Text Char"/>
    <w:link w:val="1191"/>
    <w:uiPriority w:val="99"/>
    <w:rPr>
      <w:sz w:val="18"/>
    </w:rPr>
  </w:style>
  <w:style w:type="character" w:styleId="1141">
    <w:name w:val="Endnote Text Char"/>
    <w:link w:val="1223"/>
    <w:uiPriority w:val="99"/>
    <w:rPr>
      <w:sz w:val="20"/>
    </w:rPr>
  </w:style>
  <w:style w:type="paragraph" w:styleId="1142" w:default="1">
    <w:name w:val="Normal"/>
    <w:qFormat/>
  </w:style>
  <w:style w:type="paragraph" w:styleId="1143">
    <w:name w:val="Heading 1"/>
    <w:basedOn w:val="1142"/>
    <w:next w:val="1164"/>
    <w:link w:val="1153"/>
    <w:qFormat/>
    <w:pPr>
      <w:numPr>
        <w:ilvl w:val="0"/>
        <w:numId w:val="7"/>
      </w:numPr>
      <w:keepNext/>
      <w:spacing w:before="360" w:after="120" w:line="240" w:lineRule="auto"/>
      <w:outlineLvl w:val="0"/>
    </w:pPr>
    <w:rPr>
      <w:rFonts w:ascii="Arial" w:hAnsi="Arial" w:eastAsia="Times New Roman" w:cs="Times New Roman"/>
      <w:b/>
      <w:bCs/>
      <w:color w:val="000000"/>
      <w:sz w:val="36"/>
      <w:szCs w:val="20"/>
      <w:lang w:eastAsia="ru-RU"/>
    </w:rPr>
  </w:style>
  <w:style w:type="paragraph" w:styleId="1144">
    <w:name w:val="Heading 2"/>
    <w:basedOn w:val="1142"/>
    <w:next w:val="1165"/>
    <w:link w:val="1154"/>
    <w:qFormat/>
    <w:pPr>
      <w:numPr>
        <w:ilvl w:val="1"/>
        <w:numId w:val="7"/>
      </w:numPr>
      <w:jc w:val="both"/>
      <w:keepNext/>
      <w:spacing w:before="360" w:after="120" w:line="240" w:lineRule="auto"/>
      <w:outlineLvl w:val="1"/>
    </w:pPr>
    <w:rPr>
      <w:rFonts w:ascii="Arial" w:hAnsi="Arial" w:eastAsia="Times New Roman" w:cs="Times New Roman"/>
      <w:b/>
      <w:bCs/>
      <w:color w:val="000000"/>
      <w:sz w:val="32"/>
      <w:szCs w:val="20"/>
      <w:lang w:eastAsia="ru-RU"/>
    </w:rPr>
  </w:style>
  <w:style w:type="paragraph" w:styleId="1145">
    <w:name w:val="Heading 3"/>
    <w:basedOn w:val="1142"/>
    <w:next w:val="1167"/>
    <w:link w:val="1155"/>
    <w:qFormat/>
    <w:pPr>
      <w:jc w:val="both"/>
      <w:keepNext/>
      <w:spacing w:before="360" w:after="120" w:line="240" w:lineRule="auto"/>
      <w:outlineLvl w:val="2"/>
    </w:pPr>
    <w:rPr>
      <w:rFonts w:ascii="Arial" w:hAnsi="Arial" w:eastAsia="Times New Roman" w:cs="Times New Roman"/>
      <w:b/>
      <w:bCs/>
      <w:color w:val="000000"/>
      <w:sz w:val="28"/>
      <w:szCs w:val="20"/>
      <w:lang w:eastAsia="ru-RU"/>
    </w:rPr>
  </w:style>
  <w:style w:type="paragraph" w:styleId="1146">
    <w:name w:val="Heading 4"/>
    <w:basedOn w:val="1142"/>
    <w:next w:val="1207"/>
    <w:link w:val="1156"/>
    <w:qFormat/>
    <w:pPr>
      <w:numPr>
        <w:ilvl w:val="3"/>
        <w:numId w:val="7"/>
      </w:numPr>
      <w:jc w:val="both"/>
      <w:spacing w:before="360" w:after="120" w:line="240" w:lineRule="auto"/>
      <w:outlineLvl w:val="3"/>
    </w:pPr>
    <w:rPr>
      <w:rFonts w:ascii="Arial" w:hAnsi="Arial" w:eastAsia="Times New Roman" w:cs="Times New Roman"/>
      <w:color w:val="000000"/>
      <w:sz w:val="28"/>
      <w:szCs w:val="20"/>
      <w:lang w:eastAsia="ru-RU"/>
    </w:rPr>
  </w:style>
  <w:style w:type="paragraph" w:styleId="1147">
    <w:name w:val="Heading 5"/>
    <w:basedOn w:val="1142"/>
    <w:next w:val="1142"/>
    <w:link w:val="1157"/>
    <w:qFormat/>
    <w:pPr>
      <w:spacing w:before="240" w:after="60" w:line="360" w:lineRule="auto"/>
      <w:outlineLvl w:val="4"/>
    </w:pPr>
    <w:rPr>
      <w:rFonts w:ascii="Arial" w:hAnsi="Arial" w:eastAsia="Times New Roman" w:cs="Times New Roman"/>
      <w:szCs w:val="20"/>
    </w:rPr>
  </w:style>
  <w:style w:type="paragraph" w:styleId="1148">
    <w:name w:val="Heading 6"/>
    <w:basedOn w:val="1142"/>
    <w:next w:val="1142"/>
    <w:link w:val="1158"/>
    <w:pPr>
      <w:spacing w:before="240" w:after="60" w:line="360" w:lineRule="auto"/>
      <w:outlineLvl w:val="5"/>
    </w:pPr>
    <w:rPr>
      <w:rFonts w:ascii="Arial" w:hAnsi="Arial" w:eastAsia="Times New Roman" w:cs="Times New Roman"/>
      <w:i/>
      <w:szCs w:val="20"/>
    </w:rPr>
  </w:style>
  <w:style w:type="paragraph" w:styleId="1149">
    <w:name w:val="Heading 7"/>
    <w:basedOn w:val="1142"/>
    <w:next w:val="1142"/>
    <w:link w:val="1159"/>
    <w:pPr>
      <w:keepNext/>
      <w:spacing w:after="0" w:line="360" w:lineRule="auto"/>
      <w:outlineLvl w:val="6"/>
    </w:pPr>
    <w:rPr>
      <w:rFonts w:ascii="Arial" w:hAnsi="Arial" w:eastAsia="Times New Roman" w:cs="Times New Roman"/>
      <w:i/>
      <w:szCs w:val="20"/>
      <w:lang w:val="en-US"/>
    </w:rPr>
  </w:style>
  <w:style w:type="character" w:styleId="1150" w:default="1">
    <w:name w:val="Default Paragraph Font"/>
    <w:uiPriority w:val="1"/>
    <w:semiHidden/>
    <w:unhideWhenUsed/>
  </w:style>
  <w:style w:type="table" w:styleId="11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2" w:default="1">
    <w:name w:val="No List"/>
    <w:uiPriority w:val="99"/>
    <w:semiHidden/>
    <w:unhideWhenUsed/>
  </w:style>
  <w:style w:type="character" w:styleId="1153" w:customStyle="1">
    <w:name w:val="Заголовок 1 Знак"/>
    <w:basedOn w:val="1150"/>
    <w:link w:val="1143"/>
    <w:rPr>
      <w:rFonts w:ascii="Arial" w:hAnsi="Arial" w:eastAsia="Times New Roman" w:cs="Times New Roman"/>
      <w:b/>
      <w:bCs/>
      <w:color w:val="000000"/>
      <w:sz w:val="36"/>
      <w:szCs w:val="20"/>
      <w:lang w:eastAsia="ru-RU"/>
    </w:rPr>
  </w:style>
  <w:style w:type="character" w:styleId="1154" w:customStyle="1">
    <w:name w:val="Заголовок 2 Знак"/>
    <w:basedOn w:val="1150"/>
    <w:link w:val="1144"/>
    <w:rPr>
      <w:rFonts w:ascii="Arial" w:hAnsi="Arial" w:eastAsia="Times New Roman" w:cs="Times New Roman"/>
      <w:b/>
      <w:bCs/>
      <w:color w:val="000000"/>
      <w:sz w:val="32"/>
      <w:szCs w:val="20"/>
      <w:lang w:eastAsia="ru-RU"/>
    </w:rPr>
  </w:style>
  <w:style w:type="character" w:styleId="1155" w:customStyle="1">
    <w:name w:val="Заголовок 3 Знак"/>
    <w:basedOn w:val="1150"/>
    <w:link w:val="1145"/>
    <w:rPr>
      <w:rFonts w:ascii="Arial" w:hAnsi="Arial" w:eastAsia="Times New Roman" w:cs="Times New Roman"/>
      <w:b/>
      <w:bCs/>
      <w:color w:val="000000"/>
      <w:sz w:val="28"/>
      <w:szCs w:val="20"/>
      <w:lang w:eastAsia="ru-RU"/>
    </w:rPr>
  </w:style>
  <w:style w:type="character" w:styleId="1156" w:customStyle="1">
    <w:name w:val="Заголовок 4 Знак"/>
    <w:basedOn w:val="1150"/>
    <w:link w:val="1146"/>
    <w:rPr>
      <w:rFonts w:ascii="Arial" w:hAnsi="Arial" w:eastAsia="Times New Roman" w:cs="Times New Roman"/>
      <w:color w:val="000000"/>
      <w:sz w:val="28"/>
      <w:szCs w:val="20"/>
      <w:lang w:eastAsia="ru-RU"/>
    </w:rPr>
  </w:style>
  <w:style w:type="character" w:styleId="1157" w:customStyle="1">
    <w:name w:val="Заголовок 5 Знак"/>
    <w:basedOn w:val="1150"/>
    <w:link w:val="1147"/>
    <w:rPr>
      <w:rFonts w:ascii="Arial" w:hAnsi="Arial" w:eastAsia="Times New Roman" w:cs="Times New Roman"/>
      <w:szCs w:val="20"/>
    </w:rPr>
  </w:style>
  <w:style w:type="character" w:styleId="1158" w:customStyle="1">
    <w:name w:val="Заголовок 6 Знак"/>
    <w:basedOn w:val="1150"/>
    <w:link w:val="1148"/>
    <w:rPr>
      <w:rFonts w:ascii="Arial" w:hAnsi="Arial" w:eastAsia="Times New Roman" w:cs="Times New Roman"/>
      <w:i/>
      <w:szCs w:val="20"/>
    </w:rPr>
  </w:style>
  <w:style w:type="character" w:styleId="1159" w:customStyle="1">
    <w:name w:val="Заголовок 7 Знак"/>
    <w:basedOn w:val="1150"/>
    <w:link w:val="1149"/>
    <w:rPr>
      <w:rFonts w:ascii="Arial" w:hAnsi="Arial" w:eastAsia="Times New Roman" w:cs="Times New Roman"/>
      <w:i/>
      <w:szCs w:val="20"/>
      <w:lang w:val="en-US"/>
    </w:rPr>
  </w:style>
  <w:style w:type="numbering" w:styleId="1160" w:customStyle="1">
    <w:name w:val="Нет списка1"/>
    <w:next w:val="1152"/>
    <w:semiHidden/>
    <w:unhideWhenUsed/>
  </w:style>
  <w:style w:type="paragraph" w:styleId="1161">
    <w:name w:val="Body Text"/>
    <w:basedOn w:val="1142"/>
    <w:link w:val="1162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character" w:styleId="1162" w:customStyle="1">
    <w:name w:val="Основной текст Знак"/>
    <w:basedOn w:val="1150"/>
    <w:link w:val="1161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1163" w:customStyle="1">
    <w:name w:val="Таблица - наименование"/>
    <w:basedOn w:val="1142"/>
    <w:qFormat/>
    <w:pPr>
      <w:keepNext/>
      <w:spacing w:before="120" w:after="6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164" w:customStyle="1">
    <w:name w:val="Пункт 2 уровня"/>
    <w:basedOn w:val="1144"/>
    <w:link w:val="1245"/>
    <w:pPr>
      <w:numPr>
        <w:ilvl w:val="0"/>
        <w:numId w:val="0"/>
      </w:numPr>
      <w:keepNext w:val="0"/>
      <w:spacing w:before="120"/>
    </w:pPr>
    <w:rPr>
      <w:rFonts w:ascii="Times New Roman" w:hAnsi="Times New Roman"/>
      <w:b w:val="0"/>
      <w:sz w:val="28"/>
    </w:rPr>
  </w:style>
  <w:style w:type="paragraph" w:styleId="1165" w:customStyle="1">
    <w:name w:val="Пункт 3 уровня"/>
    <w:basedOn w:val="1145"/>
    <w:link w:val="1166"/>
    <w:pPr>
      <w:keepNext w:val="0"/>
      <w:spacing w:before="120"/>
    </w:pPr>
    <w:rPr>
      <w:rFonts w:ascii="Times New Roman" w:hAnsi="Times New Roman"/>
      <w:b w:val="0"/>
    </w:rPr>
  </w:style>
  <w:style w:type="character" w:styleId="1166" w:customStyle="1">
    <w:name w:val="Пункт 3 уровня Знак"/>
    <w:link w:val="1165"/>
    <w:rPr>
      <w:rFonts w:ascii="Times New Roman" w:hAnsi="Times New Roman" w:eastAsia="Times New Roman" w:cs="Times New Roman"/>
      <w:bCs/>
      <w:color w:val="000000"/>
      <w:sz w:val="28"/>
      <w:szCs w:val="20"/>
      <w:lang w:eastAsia="ru-RU"/>
    </w:rPr>
  </w:style>
  <w:style w:type="paragraph" w:styleId="1167" w:customStyle="1">
    <w:name w:val="Пункт 4 уровня"/>
    <w:basedOn w:val="1146"/>
    <w:link w:val="1168"/>
    <w:pPr>
      <w:spacing w:before="120"/>
    </w:pPr>
  </w:style>
  <w:style w:type="character" w:styleId="1168" w:customStyle="1">
    <w:name w:val="Пункт 4 уровня Знак"/>
    <w:basedOn w:val="1156"/>
    <w:link w:val="1167"/>
    <w:rPr>
      <w:rFonts w:ascii="Arial" w:hAnsi="Arial" w:eastAsia="Times New Roman" w:cs="Times New Roman"/>
      <w:color w:val="000000"/>
      <w:sz w:val="28"/>
      <w:szCs w:val="20"/>
      <w:lang w:eastAsia="ru-RU"/>
    </w:rPr>
  </w:style>
  <w:style w:type="character" w:styleId="1169">
    <w:name w:val="FollowedHyperlink"/>
    <w:rPr>
      <w:color w:val="800080"/>
      <w:u w:val="single"/>
    </w:rPr>
  </w:style>
  <w:style w:type="paragraph" w:styleId="1170">
    <w:name w:val="Header"/>
    <w:basedOn w:val="1142"/>
    <w:link w:val="1171"/>
    <w:pPr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1171" w:customStyle="1">
    <w:name w:val="Верхний колонтитул Знак"/>
    <w:basedOn w:val="1150"/>
    <w:link w:val="1170"/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1172">
    <w:name w:val="Hyperlink"/>
    <w:uiPriority w:val="99"/>
    <w:rPr>
      <w:color w:val="0000ff"/>
      <w:u w:val="single"/>
    </w:rPr>
  </w:style>
  <w:style w:type="paragraph" w:styleId="1173" w:customStyle="1">
    <w:name w:val="Заголовки без нумерации"/>
    <w:basedOn w:val="1143"/>
    <w:next w:val="1161"/>
    <w:pPr>
      <w:numPr>
        <w:ilvl w:val="0"/>
        <w:numId w:val="0"/>
      </w:numPr>
    </w:pPr>
  </w:style>
  <w:style w:type="paragraph" w:styleId="1174">
    <w:name w:val="Footer"/>
    <w:link w:val="1175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Arial" w:hAnsi="Arial" w:eastAsia="Times New Roman" w:cs="Times New Roman"/>
      <w:i/>
      <w:sz w:val="16"/>
      <w:szCs w:val="20"/>
      <w:lang w:val="en-US" w:eastAsia="ru-RU"/>
    </w:rPr>
  </w:style>
  <w:style w:type="character" w:styleId="1175" w:customStyle="1">
    <w:name w:val="Нижний колонтитул Знак"/>
    <w:basedOn w:val="1150"/>
    <w:link w:val="1174"/>
    <w:rPr>
      <w:rFonts w:ascii="Arial" w:hAnsi="Arial" w:eastAsia="Times New Roman" w:cs="Times New Roman"/>
      <w:i/>
      <w:sz w:val="16"/>
      <w:szCs w:val="20"/>
      <w:lang w:val="en-US" w:eastAsia="ru-RU"/>
    </w:rPr>
  </w:style>
  <w:style w:type="character" w:styleId="1176">
    <w:name w:val="page number"/>
    <w:rPr>
      <w:iCs/>
      <w:sz w:val="28"/>
    </w:rPr>
  </w:style>
  <w:style w:type="paragraph" w:styleId="1177">
    <w:name w:val="toc 4"/>
    <w:basedOn w:val="1142"/>
    <w:next w:val="1142"/>
    <w:semiHidden/>
    <w:pPr>
      <w:ind w:left="720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1178" w:customStyle="1">
    <w:name w:val="Таблица (10) - осн. текст"/>
    <w:basedOn w:val="1142"/>
    <w:pPr>
      <w:ind w:firstLine="5"/>
      <w:spacing w:after="60" w:line="240" w:lineRule="auto"/>
    </w:pPr>
    <w:rPr>
      <w:rFonts w:ascii="Arial" w:hAnsi="Arial" w:eastAsia="Times New Roman" w:cs="Times New Roman"/>
      <w:color w:val="000000"/>
      <w:sz w:val="20"/>
      <w:szCs w:val="20"/>
      <w:lang w:eastAsia="ru-RU"/>
    </w:rPr>
  </w:style>
  <w:style w:type="paragraph" w:styleId="1179" w:customStyle="1">
    <w:name w:val="Таблица (10) - список нум. 1"/>
    <w:basedOn w:val="1178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1180">
    <w:name w:val="toc 1"/>
    <w:basedOn w:val="1142"/>
    <w:next w:val="1142"/>
    <w:uiPriority w:val="39"/>
    <w:pPr>
      <w:spacing w:before="120" w:after="120" w:line="240" w:lineRule="auto"/>
      <w:tabs>
        <w:tab w:val="right" w:pos="9923" w:leader="dot"/>
      </w:tabs>
    </w:pPr>
    <w:rPr>
      <w:rFonts w:ascii="Arial" w:hAnsi="Arial" w:eastAsia="Times New Roman" w:cs="Times New Roman"/>
      <w:b/>
      <w:sz w:val="28"/>
      <w:szCs w:val="20"/>
    </w:rPr>
  </w:style>
  <w:style w:type="paragraph" w:styleId="1181">
    <w:name w:val="toc 2"/>
    <w:basedOn w:val="1142"/>
    <w:next w:val="1142"/>
    <w:uiPriority w:val="39"/>
    <w:pPr>
      <w:ind w:left="227"/>
      <w:spacing w:before="120" w:after="120" w:line="240" w:lineRule="auto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 w:eastAsia="Times New Roman" w:cs="Times New Roman"/>
      <w:sz w:val="28"/>
      <w:szCs w:val="24"/>
      <w:lang w:eastAsia="ru-RU"/>
    </w:rPr>
  </w:style>
  <w:style w:type="paragraph" w:styleId="1182">
    <w:name w:val="toc 3"/>
    <w:basedOn w:val="1142"/>
    <w:next w:val="1142"/>
    <w:uiPriority w:val="39"/>
    <w:pPr>
      <w:numPr>
        <w:ilvl w:val="0"/>
        <w:numId w:val="5"/>
      </w:numPr>
      <w:ind w:left="629" w:firstLine="0"/>
      <w:spacing w:before="120" w:after="120" w:line="240" w:lineRule="auto"/>
      <w:tabs>
        <w:tab w:val="clear" w:pos="360" w:leader="none"/>
        <w:tab w:val="left" w:pos="627" w:leader="none"/>
        <w:tab w:val="right" w:pos="9923" w:leader="dot"/>
      </w:tabs>
    </w:pPr>
    <w:rPr>
      <w:rFonts w:ascii="Arial" w:hAnsi="Arial" w:eastAsia="Times New Roman" w:cs="Arial"/>
      <w:sz w:val="24"/>
      <w:szCs w:val="24"/>
    </w:rPr>
  </w:style>
  <w:style w:type="character" w:styleId="1183" w:customStyle="1">
    <w:name w:val="Текст примечания Знак"/>
    <w:link w:val="1184"/>
    <w:semiHidden/>
    <w:rPr>
      <w:color w:val="000000"/>
    </w:rPr>
  </w:style>
  <w:style w:type="paragraph" w:styleId="1184">
    <w:name w:val="annotation text"/>
    <w:basedOn w:val="1142"/>
    <w:link w:val="1183"/>
    <w:semiHidden/>
    <w:pPr>
      <w:jc w:val="both"/>
      <w:spacing w:after="0" w:line="240" w:lineRule="auto"/>
    </w:pPr>
    <w:rPr>
      <w:color w:val="000000"/>
    </w:rPr>
  </w:style>
  <w:style w:type="character" w:styleId="1185" w:customStyle="1">
    <w:name w:val="Текст примечания Знак1"/>
    <w:basedOn w:val="1150"/>
    <w:uiPriority w:val="99"/>
    <w:semiHidden/>
    <w:rPr>
      <w:sz w:val="20"/>
      <w:szCs w:val="20"/>
    </w:rPr>
  </w:style>
  <w:style w:type="paragraph" w:styleId="1186" w:customStyle="1">
    <w:name w:val="Список маркированный уровень 1"/>
    <w:basedOn w:val="1142"/>
    <w:pPr>
      <w:jc w:val="both"/>
      <w:keepLines/>
      <w:spacing w:before="120" w:after="12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187" w:customStyle="1">
    <w:name w:val="Список маркированный уровень 2"/>
    <w:basedOn w:val="1142"/>
    <w:pPr>
      <w:numPr>
        <w:ilvl w:val="0"/>
        <w:numId w:val="3"/>
      </w:numPr>
      <w:ind w:left="1276" w:hanging="284"/>
      <w:jc w:val="both"/>
      <w:spacing w:before="120" w:after="120" w:line="240" w:lineRule="auto"/>
      <w:tabs>
        <w:tab w:val="left" w:pos="-2127" w:leader="none"/>
        <w:tab w:val="clear" w:pos="567" w:leader="none"/>
      </w:tabs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188">
    <w:name w:val="Normal (Web)"/>
    <w:basedOn w:val="1142"/>
    <w:pPr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189" w:customStyle="1">
    <w:name w:val="Список нумерованный"/>
    <w:basedOn w:val="1142"/>
    <w:pPr>
      <w:numPr>
        <w:ilvl w:val="0"/>
        <w:numId w:val="2"/>
      </w:numPr>
      <w:ind w:left="992" w:hanging="425"/>
      <w:jc w:val="both"/>
      <w:spacing w:before="120" w:after="120" w:line="240" w:lineRule="auto"/>
      <w:tabs>
        <w:tab w:val="clear" w:pos="1418" w:leader="none"/>
      </w:tabs>
    </w:pPr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1190" w:customStyle="1">
    <w:name w:val="Таблица (10) - сп.марк.ур.1"/>
    <w:basedOn w:val="1178"/>
    <w:pPr>
      <w:ind w:left="170" w:hanging="170"/>
      <w:tabs>
        <w:tab w:val="num" w:pos="171" w:leader="none"/>
      </w:tabs>
    </w:pPr>
  </w:style>
  <w:style w:type="paragraph" w:styleId="1191">
    <w:name w:val="footnote text"/>
    <w:basedOn w:val="1142"/>
    <w:link w:val="1192"/>
    <w:pPr>
      <w:jc w:val="both"/>
      <w:spacing w:after="0" w:line="240" w:lineRule="auto"/>
    </w:pPr>
    <w:rPr>
      <w:rFonts w:ascii="Arial" w:hAnsi="Arial" w:eastAsia="Times New Roman" w:cs="Times New Roman"/>
      <w:color w:val="000000"/>
      <w:sz w:val="20"/>
      <w:szCs w:val="20"/>
      <w:lang w:eastAsia="ru-RU"/>
    </w:rPr>
  </w:style>
  <w:style w:type="character" w:styleId="1192" w:customStyle="1">
    <w:name w:val="Текст сноски Знак"/>
    <w:basedOn w:val="1150"/>
    <w:link w:val="1191"/>
    <w:semiHidden/>
    <w:rPr>
      <w:rFonts w:ascii="Arial" w:hAnsi="Arial" w:eastAsia="Times New Roman" w:cs="Times New Roman"/>
      <w:color w:val="000000"/>
      <w:sz w:val="20"/>
      <w:szCs w:val="20"/>
      <w:lang w:eastAsia="ru-RU"/>
    </w:rPr>
  </w:style>
  <w:style w:type="character" w:styleId="1193">
    <w:name w:val="footnote reference"/>
    <w:rPr>
      <w:vertAlign w:val="superscript"/>
    </w:rPr>
  </w:style>
  <w:style w:type="paragraph" w:styleId="1194" w:customStyle="1">
    <w:name w:val="Таблица (10) - сп.марк.ур.2"/>
    <w:basedOn w:val="1178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1195" w:customStyle="1">
    <w:name w:val="Заголовок приложения"/>
    <w:basedOn w:val="1143"/>
    <w:next w:val="1142"/>
    <w:pPr>
      <w:numPr>
        <w:ilvl w:val="0"/>
        <w:numId w:val="0"/>
      </w:numPr>
      <w:jc w:val="right"/>
      <w:spacing w:before="0"/>
    </w:pPr>
  </w:style>
  <w:style w:type="paragraph" w:styleId="1196">
    <w:name w:val="toc 5"/>
    <w:basedOn w:val="1142"/>
    <w:next w:val="1142"/>
    <w:semiHidden/>
    <w:pPr>
      <w:ind w:left="960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1197">
    <w:name w:val="toc 6"/>
    <w:basedOn w:val="1142"/>
    <w:next w:val="1142"/>
    <w:semiHidden/>
    <w:pPr>
      <w:ind w:left="1200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1198">
    <w:name w:val="toc 7"/>
    <w:basedOn w:val="1142"/>
    <w:next w:val="1142"/>
    <w:semiHidden/>
    <w:pPr>
      <w:ind w:left="1440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1199">
    <w:name w:val="toc 8"/>
    <w:basedOn w:val="1142"/>
    <w:next w:val="1142"/>
    <w:semiHidden/>
    <w:pPr>
      <w:ind w:left="1680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1200">
    <w:name w:val="toc 9"/>
    <w:basedOn w:val="1142"/>
    <w:next w:val="1142"/>
    <w:semiHidden/>
    <w:pPr>
      <w:ind w:left="1920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1201">
    <w:name w:val="annotation reference"/>
    <w:uiPriority w:val="99"/>
    <w:semiHidden/>
    <w:rPr>
      <w:sz w:val="16"/>
      <w:szCs w:val="16"/>
    </w:rPr>
  </w:style>
  <w:style w:type="paragraph" w:styleId="1202" w:customStyle="1">
    <w:name w:val="Основной текст (центр/одинарный)"/>
    <w:basedOn w:val="1161"/>
    <w:link w:val="1203"/>
    <w:pPr>
      <w:ind w:firstLine="0"/>
      <w:jc w:val="center"/>
      <w:spacing w:before="120" w:after="120"/>
    </w:pPr>
  </w:style>
  <w:style w:type="character" w:styleId="1203" w:customStyle="1">
    <w:name w:val="Основной текст (центр/одинарный) Знак"/>
    <w:link w:val="1202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1204" w:customStyle="1">
    <w:name w:val="Список маркированный уровень 3"/>
    <w:basedOn w:val="1142"/>
    <w:pPr>
      <w:ind w:left="1701" w:hanging="397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1205">
    <w:name w:val="Document Map"/>
    <w:basedOn w:val="1142"/>
    <w:link w:val="1206"/>
    <w:semiHidden/>
    <w:pPr>
      <w:numPr>
        <w:ilvl w:val="0"/>
        <w:numId w:val="8"/>
      </w:numPr>
      <w:ind w:left="0" w:firstLine="0"/>
      <w:jc w:val="both"/>
      <w:spacing w:after="0" w:line="240" w:lineRule="auto"/>
      <w:shd w:val="clear" w:color="auto" w:fill="000080"/>
      <w:tabs>
        <w:tab w:val="clear" w:pos="1701" w:leader="none"/>
      </w:tabs>
    </w:pPr>
    <w:rPr>
      <w:rFonts w:ascii="Tahoma" w:hAnsi="Tahoma" w:eastAsia="Times New Roman" w:cs="Tahoma"/>
      <w:color w:val="000000"/>
      <w:sz w:val="24"/>
      <w:szCs w:val="20"/>
      <w:lang w:eastAsia="ru-RU"/>
    </w:rPr>
  </w:style>
  <w:style w:type="character" w:styleId="1206" w:customStyle="1">
    <w:name w:val="Схема документа Знак"/>
    <w:basedOn w:val="1150"/>
    <w:link w:val="1205"/>
    <w:semiHidden/>
    <w:rPr>
      <w:rFonts w:ascii="Tahoma" w:hAnsi="Tahoma" w:eastAsia="Times New Roman" w:cs="Tahoma"/>
      <w:color w:val="000000"/>
      <w:sz w:val="24"/>
      <w:szCs w:val="20"/>
      <w:shd w:val="clear" w:color="auto" w:fill="000080"/>
      <w:lang w:eastAsia="ru-RU"/>
    </w:rPr>
  </w:style>
  <w:style w:type="paragraph" w:styleId="1207" w:customStyle="1">
    <w:name w:val="Основной текст (без отступа)"/>
    <w:basedOn w:val="1161"/>
    <w:pPr>
      <w:ind w:firstLine="0"/>
      <w:spacing w:before="120" w:after="120"/>
    </w:pPr>
  </w:style>
  <w:style w:type="paragraph" w:styleId="1208">
    <w:name w:val="table of figures"/>
    <w:basedOn w:val="1161"/>
    <w:next w:val="1142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1209" w:customStyle="1">
    <w:name w:val="Рисунок - наименование"/>
    <w:basedOn w:val="1142"/>
    <w:pPr>
      <w:jc w:val="center"/>
      <w:spacing w:before="120" w:after="120" w:line="240" w:lineRule="auto"/>
    </w:pPr>
    <w:rPr>
      <w:rFonts w:ascii="Times New Roman" w:hAnsi="Times New Roman" w:eastAsia="Times New Roman" w:cs="Times New Roman"/>
      <w:bCs/>
      <w:color w:val="000000"/>
      <w:sz w:val="28"/>
      <w:szCs w:val="20"/>
      <w:lang w:eastAsia="ru-RU"/>
    </w:rPr>
  </w:style>
  <w:style w:type="paragraph" w:styleId="1210" w:customStyle="1">
    <w:name w:val="Таблица (8) - осн. текст"/>
    <w:basedOn w:val="1142"/>
    <w:pPr>
      <w:ind w:left="57" w:right="57"/>
      <w:spacing w:after="0" w:line="240" w:lineRule="auto"/>
    </w:pPr>
    <w:rPr>
      <w:rFonts w:ascii="Arial" w:hAnsi="Arial" w:eastAsia="Times New Roman" w:cs="Arial"/>
      <w:color w:val="000000"/>
      <w:sz w:val="16"/>
      <w:szCs w:val="20"/>
      <w:lang w:eastAsia="ru-RU"/>
    </w:rPr>
  </w:style>
  <w:style w:type="paragraph" w:styleId="1211">
    <w:name w:val="Balloon Text"/>
    <w:basedOn w:val="1142"/>
    <w:link w:val="1212"/>
    <w:semiHidden/>
    <w:pPr>
      <w:jc w:val="both"/>
      <w:spacing w:after="0" w:line="240" w:lineRule="auto"/>
    </w:pPr>
    <w:rPr>
      <w:rFonts w:ascii="Tahoma" w:hAnsi="Tahoma" w:eastAsia="Times New Roman" w:cs="Tahoma"/>
      <w:color w:val="000000"/>
      <w:sz w:val="16"/>
      <w:szCs w:val="16"/>
      <w:lang w:eastAsia="ru-RU"/>
    </w:rPr>
  </w:style>
  <w:style w:type="character" w:styleId="1212" w:customStyle="1">
    <w:name w:val="Текст выноски Знак"/>
    <w:basedOn w:val="1150"/>
    <w:link w:val="1211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paragraph" w:styleId="1213" w:customStyle="1">
    <w:name w:val="Титульный лист - текст"/>
    <w:link w:val="1242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14" w:customStyle="1">
    <w:name w:val="Список общий (ручная нумерация)"/>
    <w:basedOn w:val="1161"/>
    <w:next w:val="1142"/>
    <w:pPr>
      <w:ind w:left="851" w:hanging="284"/>
      <w:spacing w:before="120" w:after="120"/>
    </w:pPr>
  </w:style>
  <w:style w:type="paragraph" w:styleId="1215">
    <w:name w:val="annotation subject"/>
    <w:basedOn w:val="1184"/>
    <w:next w:val="1184"/>
    <w:link w:val="1216"/>
    <w:semiHidden/>
    <w:rPr>
      <w:b/>
      <w:bCs/>
    </w:rPr>
  </w:style>
  <w:style w:type="character" w:styleId="1216" w:customStyle="1">
    <w:name w:val="Тема примечания Знак"/>
    <w:basedOn w:val="1185"/>
    <w:link w:val="1215"/>
    <w:semiHidden/>
    <w:rPr>
      <w:b/>
      <w:bCs/>
      <w:color w:val="000000"/>
      <w:sz w:val="20"/>
      <w:szCs w:val="20"/>
    </w:rPr>
  </w:style>
  <w:style w:type="paragraph" w:styleId="1217" w:customStyle="1">
    <w:name w:val="Нумерация"/>
    <w:basedOn w:val="1142"/>
    <w:pPr>
      <w:ind w:left="924" w:hanging="357"/>
      <w:spacing w:after="0" w:line="500" w:lineRule="exact"/>
      <w:tabs>
        <w:tab w:val="num" w:pos="927" w:leader="none"/>
        <w:tab w:val="left" w:pos="1134" w:leader="none"/>
      </w:tabs>
    </w:pPr>
    <w:rPr>
      <w:rFonts w:ascii="Arial" w:hAnsi="Arial" w:eastAsia="Times New Roman" w:cs="Times New Roman"/>
      <w:sz w:val="24"/>
      <w:szCs w:val="20"/>
      <w:lang w:eastAsia="ru-RU"/>
    </w:rPr>
  </w:style>
  <w:style w:type="paragraph" w:styleId="1218" w:customStyle="1">
    <w:name w:val="Пункт 3 уровня без нумерации"/>
    <w:basedOn w:val="1165"/>
    <w:pPr>
      <w:ind w:firstLine="567"/>
    </w:pPr>
  </w:style>
  <w:style w:type="paragraph" w:styleId="1219">
    <w:name w:val="index 1"/>
    <w:basedOn w:val="1142"/>
    <w:next w:val="1142"/>
    <w:semiHidden/>
    <w:pPr>
      <w:ind w:left="240" w:hanging="240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table" w:styleId="1220">
    <w:name w:val="Table Grid"/>
    <w:basedOn w:val="1151"/>
    <w:uiPriority w:val="3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221" w:customStyle="1">
    <w:name w:val="Титльный лист - заголовок документа"/>
    <w:basedOn w:val="1142"/>
    <w:pPr>
      <w:jc w:val="center"/>
      <w:spacing w:after="0" w:line="240" w:lineRule="auto"/>
    </w:pPr>
    <w:rPr>
      <w:rFonts w:ascii="Arial" w:hAnsi="Arial" w:eastAsia="Times New Roman" w:cs="Times New Roman"/>
      <w:b/>
      <w:color w:val="000000"/>
      <w:sz w:val="36"/>
      <w:szCs w:val="20"/>
      <w:lang w:eastAsia="ru-RU"/>
    </w:rPr>
  </w:style>
  <w:style w:type="paragraph" w:styleId="1222" w:customStyle="1">
    <w:name w:val="Титульный лист - название документа"/>
    <w:basedOn w:val="1221"/>
    <w:link w:val="1226"/>
    <w:rPr>
      <w:b w:val="0"/>
    </w:rPr>
  </w:style>
  <w:style w:type="paragraph" w:styleId="1223">
    <w:name w:val="endnote text"/>
    <w:basedOn w:val="1142"/>
    <w:link w:val="1224"/>
    <w:pPr>
      <w:numPr>
        <w:ilvl w:val="0"/>
        <w:numId w:val="9"/>
      </w:numPr>
      <w:ind w:left="0" w:firstLine="0"/>
      <w:jc w:val="both"/>
      <w:spacing w:after="0" w:line="240" w:lineRule="auto"/>
      <w:tabs>
        <w:tab w:val="clear" w:pos="927" w:leader="none"/>
      </w:tabs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1224" w:customStyle="1">
    <w:name w:val="Текст концевой сноски Знак"/>
    <w:basedOn w:val="1150"/>
    <w:link w:val="1223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1225">
    <w:name w:val="endnote reference"/>
    <w:rPr>
      <w:vertAlign w:val="superscript"/>
    </w:rPr>
  </w:style>
  <w:style w:type="character" w:styleId="1226" w:customStyle="1">
    <w:name w:val="Титульный лист - название документа Знак"/>
    <w:link w:val="1222"/>
    <w:rPr>
      <w:rFonts w:ascii="Arial" w:hAnsi="Arial" w:eastAsia="Times New Roman" w:cs="Times New Roman"/>
      <w:color w:val="000000"/>
      <w:sz w:val="36"/>
      <w:szCs w:val="20"/>
      <w:lang w:eastAsia="ru-RU"/>
    </w:rPr>
  </w:style>
  <w:style w:type="paragraph" w:styleId="1227" w:customStyle="1">
    <w:name w:val="Таблица (12) - Заголовки"/>
    <w:basedOn w:val="1207"/>
    <w:qFormat/>
    <w:pPr>
      <w:jc w:val="left"/>
      <w:spacing w:before="60" w:after="60"/>
    </w:pPr>
    <w:rPr>
      <w:rFonts w:ascii="Arial" w:hAnsi="Arial" w:cs="Arial"/>
      <w:b/>
    </w:rPr>
  </w:style>
  <w:style w:type="paragraph" w:styleId="1228" w:customStyle="1">
    <w:name w:val="Таблица (12) - осн. текст"/>
    <w:basedOn w:val="1207"/>
    <w:qFormat/>
    <w:pPr>
      <w:jc w:val="left"/>
      <w:spacing w:before="60" w:after="60"/>
    </w:pPr>
    <w:rPr>
      <w:sz w:val="24"/>
    </w:rPr>
  </w:style>
  <w:style w:type="table" w:styleId="1229" w:customStyle="1">
    <w:name w:val="Таблица (12)"/>
    <w:basedOn w:val="1151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1230">
    <w:name w:val="Table Elegant"/>
    <w:basedOn w:val="1151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231">
    <w:name w:val="Table Web 1"/>
    <w:basedOn w:val="1151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1232">
    <w:name w:val="Light List"/>
    <w:basedOn w:val="1151"/>
    <w:uiPriority w:val="61"/>
    <w:pPr>
      <w:spacing w:after="0" w:line="240" w:lineRule="auto"/>
    </w:pPr>
    <w:rPr>
      <w:rFonts w:ascii="Calibri" w:hAnsi="Calibri" w:eastAsia="Times New Roman" w:cs="Times New Roman"/>
      <w:lang w:eastAsia="ru-RU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1233" w:customStyle="1">
    <w:name w:val="Выделение жирным шрифтом"/>
    <w:qFormat/>
    <w:rPr>
      <w:b/>
    </w:rPr>
  </w:style>
  <w:style w:type="character" w:styleId="1234" w:customStyle="1">
    <w:name w:val="Выделение курсивом"/>
    <w:qFormat/>
    <w:rPr>
      <w:i/>
    </w:rPr>
  </w:style>
  <w:style w:type="character" w:styleId="1235" w:customStyle="1">
    <w:name w:val="Выделение подчеркиванием"/>
    <w:qFormat/>
    <w:rPr>
      <w:u w:val="single"/>
    </w:rPr>
  </w:style>
  <w:style w:type="paragraph" w:styleId="1236">
    <w:name w:val="List Paragraph"/>
    <w:basedOn w:val="1142"/>
    <w:uiPriority w:val="34"/>
    <w:qFormat/>
    <w:pPr>
      <w:ind w:left="708"/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1237">
    <w:name w:val="Caption"/>
    <w:basedOn w:val="1142"/>
    <w:next w:val="1142"/>
    <w:pPr>
      <w:jc w:val="both"/>
      <w:spacing w:after="0" w:line="240" w:lineRule="auto"/>
    </w:pPr>
    <w:rPr>
      <w:rFonts w:ascii="Times New Roman" w:hAnsi="Times New Roman" w:eastAsia="Times New Roman" w:cs="Times New Roman"/>
      <w:bCs/>
      <w:color w:val="000000"/>
      <w:sz w:val="28"/>
      <w:szCs w:val="20"/>
      <w:lang w:eastAsia="ru-RU"/>
    </w:rPr>
  </w:style>
  <w:style w:type="character" w:styleId="1238" w:customStyle="1">
    <w:name w:val="я_Технический стиль 1 Знак"/>
    <w:link w:val="1239"/>
    <w:rPr>
      <w:rFonts w:ascii="Arial" w:hAnsi="Arial" w:cs="Arial"/>
      <w:b/>
      <w:bCs/>
      <w:color w:val="000000"/>
      <w:sz w:val="24"/>
      <w:szCs w:val="24"/>
    </w:rPr>
  </w:style>
  <w:style w:type="paragraph" w:styleId="1239" w:customStyle="1">
    <w:name w:val="я_Технический стиль 1"/>
    <w:basedOn w:val="1142"/>
    <w:link w:val="1238"/>
    <w:qFormat/>
    <w:pPr>
      <w:ind w:left="142" w:right="140"/>
      <w:jc w:val="center"/>
      <w:spacing w:after="0" w:line="240" w:lineRule="auto"/>
      <w:pBdr>
        <w:bottom w:val="single" w:color="000000" w:sz="12" w:space="1"/>
      </w:pBdr>
    </w:pPr>
    <w:rPr>
      <w:rFonts w:ascii="Arial" w:hAnsi="Arial" w:cs="Arial"/>
      <w:b/>
      <w:bCs/>
      <w:color w:val="000000"/>
      <w:sz w:val="24"/>
      <w:szCs w:val="24"/>
    </w:rPr>
  </w:style>
  <w:style w:type="paragraph" w:styleId="1240" w:customStyle="1">
    <w:name w:val="я_Технический стиль 2"/>
    <w:basedOn w:val="1213"/>
    <w:link w:val="1243"/>
    <w:qFormat/>
    <w:rPr>
      <w:rFonts w:cs="Arial"/>
      <w:u w:val="single"/>
    </w:rPr>
  </w:style>
  <w:style w:type="paragraph" w:styleId="1241" w:customStyle="1">
    <w:name w:val="я_Технический стиль 3"/>
    <w:basedOn w:val="1213"/>
    <w:link w:val="1244"/>
    <w:qFormat/>
    <w:rPr>
      <w:rFonts w:ascii="Arial" w:hAnsi="Arial" w:cs="Arial"/>
      <w:b/>
    </w:rPr>
  </w:style>
  <w:style w:type="character" w:styleId="1242" w:customStyle="1">
    <w:name w:val="Титульный лист - текст Знак"/>
    <w:link w:val="121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243" w:customStyle="1">
    <w:name w:val="я_Технический стиль 2 Знак"/>
    <w:link w:val="1240"/>
    <w:rPr>
      <w:rFonts w:ascii="Times New Roman" w:hAnsi="Times New Roman" w:eastAsia="Times New Roman" w:cs="Arial"/>
      <w:sz w:val="28"/>
      <w:szCs w:val="20"/>
      <w:u w:val="single"/>
      <w:lang w:eastAsia="ru-RU"/>
    </w:rPr>
  </w:style>
  <w:style w:type="character" w:styleId="1244" w:customStyle="1">
    <w:name w:val="я_Технический стиль 3 Знак"/>
    <w:link w:val="1241"/>
    <w:rPr>
      <w:rFonts w:ascii="Arial" w:hAnsi="Arial" w:eastAsia="Times New Roman" w:cs="Arial"/>
      <w:b/>
      <w:sz w:val="28"/>
      <w:szCs w:val="20"/>
      <w:lang w:eastAsia="ru-RU"/>
    </w:rPr>
  </w:style>
  <w:style w:type="character" w:styleId="1245" w:customStyle="1">
    <w:name w:val="Пункт 2 уровня Знак"/>
    <w:link w:val="1164"/>
    <w:rPr>
      <w:rFonts w:ascii="Times New Roman" w:hAnsi="Times New Roman" w:eastAsia="Times New Roman" w:cs="Times New Roman"/>
      <w:bCs/>
      <w:color w:val="000000"/>
      <w:sz w:val="28"/>
      <w:szCs w:val="20"/>
      <w:lang w:eastAsia="ru-RU"/>
    </w:rPr>
  </w:style>
  <w:style w:type="character" w:styleId="1246" w:customStyle="1">
    <w:name w:val="Выделение цветом (желтый)"/>
    <w:qFormat/>
    <w:rPr>
      <w:shd w:val="clear" w:color="auto" w:fill="ffff00"/>
    </w:rPr>
  </w:style>
  <w:style w:type="paragraph" w:styleId="1247" w:customStyle="1">
    <w:name w:val="Список нумерованный (цифра с точкой)"/>
    <w:basedOn w:val="1142"/>
    <w:qFormat/>
    <w:pPr>
      <w:numPr>
        <w:ilvl w:val="0"/>
        <w:numId w:val="10"/>
      </w:numPr>
      <w:ind w:left="426" w:hanging="426"/>
      <w:jc w:val="both"/>
      <w:spacing w:before="120" w:after="120" w:line="240" w:lineRule="auto"/>
    </w:pPr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1248" w:customStyle="1">
    <w:name w:val="Выделение надстрочными символами"/>
    <w:qFormat/>
    <w:rPr>
      <w:vertAlign w:val="superscript"/>
    </w:rPr>
  </w:style>
  <w:style w:type="paragraph" w:styleId="1249" w:customStyle="1">
    <w:name w:val="я_технический стиль &quot;перечень&quot;"/>
    <w:basedOn w:val="1142"/>
    <w:qFormat/>
    <w:pPr>
      <w:jc w:val="both"/>
      <w:spacing w:before="60" w:after="60" w:line="240" w:lineRule="auto"/>
      <w:tabs>
        <w:tab w:val="right" w:pos="9627" w:leader="dot"/>
      </w:tabs>
    </w:pPr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character" w:styleId="1250" w:customStyle="1">
    <w:name w:val="w"/>
    <w:basedOn w:val="1150"/>
  </w:style>
  <w:style w:type="paragraph" w:styleId="1251" w:customStyle="1">
    <w:name w:val="Текст документа"/>
    <w:basedOn w:val="1142"/>
    <w:link w:val="1252"/>
    <w:pPr>
      <w:ind w:firstLine="567"/>
      <w:jc w:val="both"/>
      <w:spacing w:before="120" w:after="120" w:line="360" w:lineRule="exact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52" w:customStyle="1">
    <w:name w:val="Текст документа Знак"/>
    <w:link w:val="1251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53">
    <w:name w:val="TOC Heading"/>
    <w:basedOn w:val="1143"/>
    <w:next w:val="1142"/>
    <w:uiPriority w:val="39"/>
    <w:unhideWhenUsed/>
    <w:qFormat/>
    <w:pPr>
      <w:numPr>
        <w:ilvl w:val="0"/>
        <w:numId w:val="0"/>
      </w:numPr>
      <w:keepLines/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sz w:val="32"/>
      <w:szCs w:val="32"/>
    </w:rPr>
  </w:style>
  <w:style w:type="character" w:styleId="1254" w:customStyle="1">
    <w:name w:val="Текст сноски Знак2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255" w:customStyle="1">
    <w:name w:val="_Заг.2"/>
    <w:next w:val="1142"/>
    <w:link w:val="1256"/>
    <w:pPr>
      <w:ind w:firstLine="595"/>
      <w:spacing w:before="120" w:after="240" w:line="240" w:lineRule="auto"/>
      <w:outlineLvl w:val="1"/>
    </w:pPr>
    <w:rPr>
      <w:rFonts w:ascii="Times New Roman" w:hAnsi="Times New Roman" w:eastAsia="Times New Roman" w:cs="Arial"/>
      <w:b/>
      <w:bCs/>
      <w:iCs/>
      <w:sz w:val="32"/>
      <w:szCs w:val="28"/>
      <w:lang w:eastAsia="ru-RU"/>
    </w:rPr>
  </w:style>
  <w:style w:type="character" w:styleId="1256" w:customStyle="1">
    <w:name w:val="_Заг.2 Знак"/>
    <w:link w:val="1255"/>
    <w:rPr>
      <w:rFonts w:ascii="Times New Roman" w:hAnsi="Times New Roman" w:eastAsia="Times New Roman" w:cs="Arial"/>
      <w:b/>
      <w:bCs/>
      <w:iCs/>
      <w:sz w:val="32"/>
      <w:szCs w:val="28"/>
      <w:lang w:eastAsia="ru-RU"/>
    </w:rPr>
  </w:style>
  <w:style w:type="paragraph" w:styleId="1257" w:customStyle="1">
    <w:name w:val="_Заг.3"/>
    <w:next w:val="1142"/>
    <w:pPr>
      <w:spacing w:before="120" w:after="240" w:line="240" w:lineRule="auto"/>
      <w:outlineLvl w:val="2"/>
    </w:pPr>
    <w:rPr>
      <w:rFonts w:ascii="Times New Roman" w:hAnsi="Times New Roman" w:eastAsia="Times New Roman" w:cs="Arial"/>
      <w:b/>
      <w:bCs/>
      <w:iCs/>
      <w:sz w:val="28"/>
      <w:szCs w:val="28"/>
      <w:lang w:eastAsia="ru-RU"/>
    </w:rPr>
  </w:style>
  <w:style w:type="paragraph" w:styleId="1258" w:customStyle="1">
    <w:name w:val="_Заг.1"/>
    <w:next w:val="1142"/>
    <w:pPr>
      <w:pageBreakBefore/>
      <w:spacing w:before="120" w:after="240" w:line="240" w:lineRule="auto"/>
      <w:outlineLvl w:val="0"/>
    </w:pPr>
    <w:rPr>
      <w:rFonts w:ascii="Times New Roman" w:hAnsi="Times New Roman" w:eastAsia="Times New Roman" w:cs="Arial"/>
      <w:b/>
      <w:bCs/>
      <w:sz w:val="36"/>
      <w:szCs w:val="32"/>
      <w:lang w:eastAsia="ru-RU"/>
    </w:rPr>
  </w:style>
  <w:style w:type="paragraph" w:styleId="1259" w:customStyle="1">
    <w:name w:val="обы"/>
    <w:basedOn w:val="1142"/>
    <w:link w:val="1260"/>
    <w:qFormat/>
    <w:pPr>
      <w:jc w:val="both"/>
      <w:spacing w:after="0" w:line="276" w:lineRule="auto"/>
    </w:pPr>
    <w:rPr>
      <w:rFonts w:ascii="Times New Roman" w:hAnsi="Times New Roman" w:eastAsia="Arial" w:cs="Times New Roman"/>
      <w:color w:val="000000"/>
      <w:sz w:val="24"/>
      <w:szCs w:val="20"/>
      <w:lang w:val="en-US" w:eastAsia="ru-RU"/>
    </w:rPr>
  </w:style>
  <w:style w:type="character" w:styleId="1260" w:customStyle="1">
    <w:name w:val="обы Знак"/>
    <w:basedOn w:val="1150"/>
    <w:link w:val="1259"/>
    <w:rPr>
      <w:rFonts w:ascii="Times New Roman" w:hAnsi="Times New Roman" w:eastAsia="Arial" w:cs="Times New Roman"/>
      <w:color w:val="000000"/>
      <w:sz w:val="24"/>
      <w:szCs w:val="20"/>
      <w:lang w:val="en-US" w:eastAsia="ru-RU"/>
    </w:rPr>
  </w:style>
  <w:style w:type="paragraph" w:styleId="1261" w:customStyle="1">
    <w:name w:val="_GOST_Normal"/>
    <w:pPr>
      <w:contextualSpacing/>
      <w:ind w:firstLine="567"/>
      <w:jc w:val="both"/>
      <w:spacing w:before="120" w:after="6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FF9929-C36D-40AD-9BD3-DC24D22524D4}"/>
</file>

<file path=customXml/itemProps2.xml><?xml version="1.0" encoding="utf-8"?>
<ds:datastoreItem xmlns:ds="http://schemas.openxmlformats.org/officeDocument/2006/customXml" ds:itemID="{2A92B0CD-9C5D-4E61-94C1-DB13100E9E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7C61D2-3803-4999-BE9B-468F9871890F}"/>
</file>

<file path=customXml/itemProps4.xml><?xml version="1.0" encoding="utf-8"?>
<ds:datastoreItem xmlns:ds="http://schemas.openxmlformats.org/officeDocument/2006/customXml" ds:itemID="{1B90953C-0C07-4AB7-ACCF-7D17CC221676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Наталья Александровна</dc:creator>
  <cp:keywords/>
  <dc:description/>
  <cp:revision>11</cp:revision>
  <dcterms:created xsi:type="dcterms:W3CDTF">2022-09-20T09:17:00Z</dcterms:created>
  <dcterms:modified xsi:type="dcterms:W3CDTF">2024-02-08T12:04:25Z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